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D16" w:rsidRDefault="00EE1D16" w:rsidP="00EE1D16">
      <w:pPr>
        <w:ind w:left="-57"/>
        <w:jc w:val="center"/>
        <w:rPr>
          <w:rFonts w:ascii="Simplified Arabic" w:eastAsia="Calibri" w:hAnsi="Simplified Arabic" w:cs="Simplified Arabic"/>
          <w:b/>
          <w:bCs/>
          <w:sz w:val="36"/>
          <w:szCs w:val="36"/>
        </w:rPr>
      </w:pPr>
      <w:r>
        <w:rPr>
          <w:rFonts w:ascii="Simplified Arabic" w:eastAsia="Calibri" w:hAnsi="Simplified Arabic" w:cs="Simplified Arabic"/>
          <w:b/>
          <w:bCs/>
          <w:sz w:val="36"/>
          <w:szCs w:val="36"/>
          <w:rtl/>
        </w:rPr>
        <w:t>كلية الدراسات العليا</w:t>
      </w:r>
    </w:p>
    <w:p w:rsidR="00EE1D16" w:rsidRDefault="00EE1D16" w:rsidP="00EE1D16">
      <w:pPr>
        <w:tabs>
          <w:tab w:val="left" w:pos="2068"/>
          <w:tab w:val="center" w:pos="4223"/>
        </w:tabs>
        <w:spacing w:line="240" w:lineRule="auto"/>
        <w:ind w:left="-57"/>
        <w:rPr>
          <w:rFonts w:ascii="ae_AlMateen" w:eastAsia="Calibri" w:hAnsi="ae_AlMateen" w:cs="AGA Battouta Regular"/>
          <w:b/>
          <w:bCs/>
          <w:color w:val="002060"/>
          <w:rtl/>
        </w:rPr>
      </w:pPr>
      <w:r>
        <w:rPr>
          <w:rFonts w:ascii="ae_AlMateen" w:eastAsia="Calibri" w:hAnsi="ae_AlMateen" w:cs="AGA Battouta Regular" w:hint="cs"/>
          <w:b/>
          <w:bCs/>
          <w:color w:val="002060"/>
          <w:sz w:val="32"/>
          <w:szCs w:val="32"/>
          <w:rtl/>
        </w:rPr>
        <w:tab/>
      </w:r>
    </w:p>
    <w:p w:rsidR="00EE1D16" w:rsidRDefault="00EE1D16" w:rsidP="00EE1D16">
      <w:pPr>
        <w:tabs>
          <w:tab w:val="left" w:pos="2068"/>
          <w:tab w:val="center" w:pos="4223"/>
        </w:tabs>
        <w:spacing w:line="240" w:lineRule="auto"/>
        <w:ind w:left="-57"/>
        <w:rPr>
          <w:rFonts w:ascii="ae_AlMateen" w:eastAsia="Calibri" w:hAnsi="ae_AlMateen" w:cs="AGA Battouta Regular" w:hint="cs"/>
          <w:b/>
          <w:bCs/>
          <w:color w:val="002060"/>
          <w:sz w:val="32"/>
          <w:szCs w:val="32"/>
          <w:rtl/>
        </w:rPr>
      </w:pPr>
    </w:p>
    <w:p w:rsidR="00EE1D16" w:rsidRDefault="00EE1D16" w:rsidP="00EE1D16">
      <w:pPr>
        <w:ind w:left="-57"/>
        <w:jc w:val="center"/>
        <w:rPr>
          <w:rFonts w:ascii="Simplified Arabic" w:eastAsia="Calibri" w:hAnsi="Simplified Arabic" w:cs="Simplified Arabic" w:hint="cs"/>
          <w:b/>
          <w:bCs/>
          <w:sz w:val="36"/>
          <w:szCs w:val="36"/>
          <w:rtl/>
        </w:rPr>
      </w:pPr>
      <w:r>
        <w:rPr>
          <w:rFonts w:ascii="Simplified Arabic" w:eastAsia="Calibri" w:hAnsi="Simplified Arabic" w:cs="Simplified Arabic"/>
          <w:b/>
          <w:bCs/>
          <w:sz w:val="36"/>
          <w:szCs w:val="36"/>
          <w:rtl/>
        </w:rPr>
        <w:t xml:space="preserve">نماذج من علم المناسبات في ضوء تفسير الفخر الرازي </w:t>
      </w: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(مفاتيح الغيب)</w:t>
      </w:r>
    </w:p>
    <w:p w:rsidR="00EE1D16" w:rsidRDefault="00EE1D16" w:rsidP="00EE1D16">
      <w:pPr>
        <w:ind w:left="-57"/>
        <w:jc w:val="center"/>
        <w:rPr>
          <w:rFonts w:ascii="Traditional Arabic" w:eastAsia="Calibri" w:hAnsi="Traditional Arabic" w:cs="Traditional Arabic"/>
          <w:b/>
          <w:bCs/>
          <w:sz w:val="36"/>
          <w:szCs w:val="36"/>
          <w:rtl/>
        </w:rPr>
      </w:pP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بحث مقدم لنيل درجة الماجستير في (علوم القرآن)</w:t>
      </w: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قسم أصول الدّين</w:t>
      </w:r>
    </w:p>
    <w:p w:rsidR="00EE1D16" w:rsidRDefault="00EE1D16" w:rsidP="00EE1D16">
      <w:pPr>
        <w:ind w:left="-57"/>
        <w:jc w:val="center"/>
        <w:rPr>
          <w:rFonts w:ascii="Simplified Arabic" w:eastAsia="Calibri" w:hAnsi="Simplified Arabic" w:cs="Simplified Arabic"/>
          <w:b/>
          <w:bCs/>
          <w:sz w:val="36"/>
          <w:szCs w:val="36"/>
          <w:rtl/>
        </w:rPr>
      </w:pP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 xml:space="preserve">إعداد الطالب </w:t>
      </w: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 xml:space="preserve">صلاح الدين </w:t>
      </w:r>
      <w:proofErr w:type="spellStart"/>
      <w:r>
        <w:rPr>
          <w:rFonts w:ascii="Simplified Arabic" w:eastAsia="Calibri" w:hAnsi="Simplified Arabic" w:cs="Simplified Arabic"/>
          <w:b/>
          <w:bCs/>
          <w:sz w:val="36"/>
          <w:szCs w:val="36"/>
          <w:rtl/>
        </w:rPr>
        <w:t>شقيفة</w:t>
      </w:r>
      <w:proofErr w:type="spellEnd"/>
      <w:r>
        <w:rPr>
          <w:rFonts w:ascii="Simplified Arabic" w:eastAsia="Calibri" w:hAnsi="Simplified Arabic" w:cs="Simplified Arabic"/>
          <w:b/>
          <w:bCs/>
          <w:sz w:val="36"/>
          <w:szCs w:val="36"/>
          <w:rtl/>
        </w:rPr>
        <w:t xml:space="preserve"> مستور بريمة</w:t>
      </w:r>
    </w:p>
    <w:p w:rsidR="00EE1D16" w:rsidRDefault="00EE1D16" w:rsidP="00EE1D16">
      <w:pPr>
        <w:ind w:left="-57"/>
        <w:jc w:val="center"/>
        <w:rPr>
          <w:rFonts w:ascii="Simplified Arabic" w:eastAsia="Calibri" w:hAnsi="Simplified Arabic" w:cs="Simplified Arabic"/>
          <w:b/>
          <w:bCs/>
          <w:sz w:val="32"/>
          <w:szCs w:val="32"/>
          <w:rtl/>
        </w:rPr>
      </w:pPr>
    </w:p>
    <w:p w:rsidR="00EE1D16" w:rsidRDefault="00EE1D16" w:rsidP="00EE1D16">
      <w:pPr>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 xml:space="preserve">إشراف الدكتور </w:t>
      </w:r>
    </w:p>
    <w:p w:rsidR="00EE1D16" w:rsidRDefault="00EE1D16" w:rsidP="00EE1D16">
      <w:pPr>
        <w:ind w:left="-57"/>
        <w:jc w:val="center"/>
        <w:rPr>
          <w:rFonts w:ascii="Simplified Arabic" w:eastAsia="Calibri" w:hAnsi="Simplified Arabic" w:cs="Simplified Arabic"/>
          <w:b/>
          <w:bCs/>
          <w:sz w:val="36"/>
          <w:szCs w:val="36"/>
          <w:rtl/>
        </w:rPr>
      </w:pPr>
      <w:r>
        <w:rPr>
          <w:rFonts w:ascii="Simplified Arabic" w:eastAsia="Calibri" w:hAnsi="Simplified Arabic" w:cs="Simplified Arabic"/>
          <w:b/>
          <w:bCs/>
          <w:sz w:val="36"/>
          <w:szCs w:val="36"/>
          <w:rtl/>
        </w:rPr>
        <w:t>عبد الوهاب عيسي يوسف</w:t>
      </w:r>
    </w:p>
    <w:p w:rsidR="00EE1D16" w:rsidRDefault="00EE1D16" w:rsidP="00EE1D16">
      <w:pPr>
        <w:ind w:left="-57"/>
        <w:jc w:val="center"/>
        <w:rPr>
          <w:rFonts w:ascii="Simplified Arabic" w:eastAsia="Calibri" w:hAnsi="Simplified Arabic" w:cs="Simplified Arabic"/>
          <w:b/>
          <w:bCs/>
          <w:sz w:val="36"/>
          <w:szCs w:val="36"/>
          <w:rtl/>
        </w:rPr>
      </w:pPr>
    </w:p>
    <w:p w:rsidR="00EE1D16" w:rsidRDefault="00EE1D16" w:rsidP="00EE1D16">
      <w:pPr>
        <w:jc w:val="center"/>
        <w:rPr>
          <w:rFonts w:ascii="Simplified Arabic" w:eastAsia="Calibri" w:hAnsi="Simplified Arabic" w:cs="Simplified Arabic"/>
          <w:i/>
          <w:iCs/>
          <w:sz w:val="36"/>
          <w:szCs w:val="36"/>
          <w:rtl/>
        </w:rPr>
      </w:pPr>
      <w:r>
        <w:rPr>
          <w:rFonts w:ascii="Simplified Arabic" w:eastAsia="Calibri" w:hAnsi="Simplified Arabic" w:cs="Simplified Arabic"/>
          <w:i/>
          <w:iCs/>
          <w:sz w:val="36"/>
          <w:szCs w:val="36"/>
          <w:rtl/>
        </w:rPr>
        <w:t>1438هـ -2016م</w:t>
      </w:r>
    </w:p>
    <w:p w:rsidR="00EE1D16" w:rsidRDefault="00EE1D16" w:rsidP="00EE1D16">
      <w:pPr>
        <w:jc w:val="center"/>
        <w:rPr>
          <w:b/>
          <w:bCs/>
          <w:sz w:val="32"/>
          <w:szCs w:val="32"/>
          <w:rtl/>
        </w:rPr>
      </w:pPr>
      <w:r>
        <w:rPr>
          <w:b/>
          <w:bCs/>
          <w:sz w:val="32"/>
          <w:szCs w:val="32"/>
          <w:rtl/>
        </w:rPr>
        <w:t>ملخص الرسالة</w:t>
      </w:r>
    </w:p>
    <w:p w:rsidR="00EE1D16" w:rsidRDefault="00EE1D16" w:rsidP="00EE1D16">
      <w:pPr>
        <w:jc w:val="both"/>
        <w:rPr>
          <w:sz w:val="36"/>
          <w:szCs w:val="36"/>
          <w:rtl/>
        </w:rPr>
      </w:pPr>
      <w:r>
        <w:rPr>
          <w:sz w:val="32"/>
          <w:szCs w:val="32"/>
          <w:rtl/>
        </w:rPr>
        <w:lastRenderedPageBreak/>
        <w:t xml:space="preserve">      </w:t>
      </w:r>
      <w:r>
        <w:rPr>
          <w:b/>
          <w:bCs/>
          <w:sz w:val="32"/>
          <w:szCs w:val="32"/>
          <w:rtl/>
        </w:rPr>
        <w:t>عنوان الرسالة</w:t>
      </w:r>
      <w:r>
        <w:rPr>
          <w:sz w:val="32"/>
          <w:szCs w:val="32"/>
          <w:rtl/>
        </w:rPr>
        <w:t xml:space="preserve"> :</w:t>
      </w:r>
      <w:r>
        <w:rPr>
          <w:sz w:val="36"/>
          <w:szCs w:val="36"/>
          <w:rtl/>
        </w:rPr>
        <w:t xml:space="preserve"> نماذج من علم المناسبات عند الإمام الرازي في ضوء تفسيره (مفاتيح الغيب)</w:t>
      </w:r>
    </w:p>
    <w:p w:rsidR="00EE1D16" w:rsidRDefault="00EE1D16" w:rsidP="00EE1D16">
      <w:pPr>
        <w:jc w:val="both"/>
        <w:rPr>
          <w:sz w:val="36"/>
          <w:szCs w:val="36"/>
          <w:rtl/>
        </w:rPr>
      </w:pPr>
      <w:r>
        <w:rPr>
          <w:sz w:val="36"/>
          <w:szCs w:val="36"/>
          <w:rtl/>
        </w:rPr>
        <w:t xml:space="preserve">          تتكون من مقدمة ، وتمهيد، وثلاثة فصول ، وخاتمة، وفهارس.</w:t>
      </w:r>
    </w:p>
    <w:p w:rsidR="00EE1D16" w:rsidRDefault="00EE1D16" w:rsidP="00EE1D16">
      <w:pPr>
        <w:jc w:val="both"/>
        <w:rPr>
          <w:sz w:val="36"/>
          <w:szCs w:val="36"/>
          <w:rtl/>
        </w:rPr>
      </w:pPr>
      <w:r>
        <w:rPr>
          <w:sz w:val="36"/>
          <w:szCs w:val="36"/>
          <w:rtl/>
        </w:rPr>
        <w:t xml:space="preserve"> احتوت المقدمة على أهمية الموضوع، والمهتمون بعلم المناسبات ومنهم الفخر الرازي.</w:t>
      </w:r>
    </w:p>
    <w:p w:rsidR="00EE1D16" w:rsidRDefault="00EE1D16" w:rsidP="00EE1D16">
      <w:pPr>
        <w:jc w:val="both"/>
        <w:rPr>
          <w:sz w:val="36"/>
          <w:szCs w:val="36"/>
          <w:rtl/>
        </w:rPr>
      </w:pPr>
      <w:r>
        <w:rPr>
          <w:sz w:val="36"/>
          <w:szCs w:val="36"/>
          <w:rtl/>
        </w:rPr>
        <w:t xml:space="preserve">  وأما التمهيد فاحتوي علي أهمية علم المناسبات ، وأسباب اختياره ، إضافةً إلي الدراسات السابقة ، ومنهج البحث.</w:t>
      </w:r>
    </w:p>
    <w:p w:rsidR="00EE1D16" w:rsidRDefault="00EE1D16" w:rsidP="00EE1D16">
      <w:pPr>
        <w:jc w:val="both"/>
        <w:rPr>
          <w:sz w:val="36"/>
          <w:szCs w:val="36"/>
          <w:rtl/>
        </w:rPr>
      </w:pPr>
      <w:r>
        <w:rPr>
          <w:sz w:val="36"/>
          <w:szCs w:val="36"/>
          <w:rtl/>
        </w:rPr>
        <w:t xml:space="preserve">وأما الفصول الثلاثة اشتملت على الآتي: </w:t>
      </w:r>
    </w:p>
    <w:p w:rsidR="00EE1D16" w:rsidRDefault="00EE1D16" w:rsidP="00EE1D16">
      <w:pPr>
        <w:jc w:val="both"/>
        <w:rPr>
          <w:sz w:val="36"/>
          <w:szCs w:val="36"/>
          <w:rtl/>
        </w:rPr>
      </w:pPr>
      <w:r>
        <w:rPr>
          <w:b/>
          <w:bCs/>
          <w:sz w:val="36"/>
          <w:szCs w:val="36"/>
          <w:rtl/>
        </w:rPr>
        <w:t>الفصل الأول:</w:t>
      </w:r>
      <w:r>
        <w:rPr>
          <w:sz w:val="36"/>
          <w:szCs w:val="36"/>
          <w:rtl/>
        </w:rPr>
        <w:t xml:space="preserve"> نبذه عن الفخر الرازي ، وتفسيره (مفاتيح الغيب)، وفيه أربعة مباحث ،الأول: الفخر الرازي حياته ونشأته ،الثاني :وصية الفخر الرازي ، والثالث: نبذه عن التفسير الكبير، والرابع:المناسبة ومنزلتها عند العلماء.</w:t>
      </w:r>
    </w:p>
    <w:p w:rsidR="00EE1D16" w:rsidRDefault="00EE1D16" w:rsidP="00EE1D16">
      <w:pPr>
        <w:jc w:val="both"/>
        <w:rPr>
          <w:sz w:val="36"/>
          <w:szCs w:val="36"/>
          <w:rtl/>
        </w:rPr>
      </w:pPr>
      <w:r>
        <w:rPr>
          <w:b/>
          <w:bCs/>
          <w:sz w:val="36"/>
          <w:szCs w:val="36"/>
          <w:rtl/>
        </w:rPr>
        <w:t>أما الفصل الثاني</w:t>
      </w:r>
      <w:r>
        <w:rPr>
          <w:sz w:val="36"/>
          <w:szCs w:val="36"/>
          <w:rtl/>
        </w:rPr>
        <w:t>: موقف العلماء من علم المناسبات ، وفيه أربعة مباحث ، الأول :نشأة علم المناسبات ، ومراحله ،الثاني : أهمية علم المناسبات وفوائده، والثالث: القائلون بوجود التناسب بين الآيات ،والمعارضون والرد عليهم ، والرابع: أشهر المؤلفات في علم المناسبات.</w:t>
      </w:r>
    </w:p>
    <w:p w:rsidR="00EE1D16" w:rsidRDefault="00EE1D16" w:rsidP="00EE1D16">
      <w:pPr>
        <w:jc w:val="both"/>
        <w:rPr>
          <w:sz w:val="36"/>
          <w:szCs w:val="36"/>
          <w:rtl/>
        </w:rPr>
      </w:pPr>
      <w:r>
        <w:rPr>
          <w:sz w:val="36"/>
          <w:szCs w:val="36"/>
          <w:rtl/>
        </w:rPr>
        <w:t xml:space="preserve">   </w:t>
      </w:r>
      <w:r>
        <w:rPr>
          <w:b/>
          <w:bCs/>
          <w:sz w:val="36"/>
          <w:szCs w:val="36"/>
          <w:rtl/>
        </w:rPr>
        <w:t>وأما الفصل الثالث:</w:t>
      </w:r>
      <w:r>
        <w:rPr>
          <w:sz w:val="36"/>
          <w:szCs w:val="36"/>
          <w:rtl/>
        </w:rPr>
        <w:t xml:space="preserve"> نماذج من علم المناسبات في التفسير الكبير، وفيه أربعة مباحث فالأول: تناسب سورة الفاتحة، الثاني: مناسبات الآية الواحد من سورة البقرة، الثالث: مناسبات المقاطع ، والرابع : تناسب تعلق السور بأكثر من سورة.</w:t>
      </w:r>
    </w:p>
    <w:p w:rsidR="00EE1D16" w:rsidRDefault="00EE1D16" w:rsidP="00EE1D16">
      <w:pPr>
        <w:jc w:val="both"/>
        <w:rPr>
          <w:sz w:val="36"/>
          <w:szCs w:val="36"/>
          <w:rtl/>
        </w:rPr>
      </w:pPr>
      <w:r>
        <w:rPr>
          <w:sz w:val="36"/>
          <w:szCs w:val="36"/>
          <w:rtl/>
        </w:rPr>
        <w:t xml:space="preserve">   </w:t>
      </w:r>
      <w:r>
        <w:rPr>
          <w:b/>
          <w:bCs/>
          <w:sz w:val="36"/>
          <w:szCs w:val="36"/>
          <w:rtl/>
        </w:rPr>
        <w:t>ثم الخاتمة</w:t>
      </w:r>
      <w:r>
        <w:rPr>
          <w:sz w:val="36"/>
          <w:szCs w:val="36"/>
          <w:rtl/>
        </w:rPr>
        <w:t xml:space="preserve"> واحتوت على أهم النتائج التي تم التوصل إليها، ثم التوصيات ، والفهارس.</w:t>
      </w:r>
    </w:p>
    <w:p w:rsidR="00EE1D16" w:rsidRDefault="00EE1D16" w:rsidP="00EE1D16">
      <w:pPr>
        <w:jc w:val="both"/>
        <w:rPr>
          <w:sz w:val="32"/>
          <w:szCs w:val="32"/>
          <w:rtl/>
        </w:rPr>
      </w:pPr>
      <w:r>
        <w:rPr>
          <w:sz w:val="36"/>
          <w:szCs w:val="36"/>
          <w:rtl/>
        </w:rPr>
        <w:t xml:space="preserve">                    والحمد لله الذي بفضله تتم الصالحات ،،،</w:t>
      </w:r>
      <w:r>
        <w:rPr>
          <w:sz w:val="32"/>
          <w:szCs w:val="32"/>
          <w:rtl/>
        </w:rPr>
        <w:t xml:space="preserve"> </w:t>
      </w:r>
    </w:p>
    <w:p w:rsidR="00EE1D16" w:rsidRDefault="00EE1D16" w:rsidP="00EE1D16">
      <w:pPr>
        <w:rPr>
          <w:b/>
          <w:bCs/>
          <w:sz w:val="32"/>
          <w:szCs w:val="32"/>
          <w:rtl/>
        </w:rPr>
      </w:pPr>
    </w:p>
    <w:p w:rsidR="00EE1D16" w:rsidRDefault="00EE1D16" w:rsidP="00EE1D16">
      <w:pPr>
        <w:bidi w:val="0"/>
        <w:jc w:val="center"/>
        <w:rPr>
          <w:rFonts w:asciiTheme="majorBidi" w:hAnsiTheme="majorBidi" w:cstheme="majorBidi"/>
          <w:sz w:val="42"/>
          <w:szCs w:val="42"/>
        </w:rPr>
      </w:pPr>
      <w:r>
        <w:rPr>
          <w:rFonts w:asciiTheme="majorBidi" w:hAnsiTheme="majorBidi" w:cstheme="majorBidi"/>
          <w:sz w:val="42"/>
          <w:szCs w:val="42"/>
        </w:rPr>
        <w:br w:type="column"/>
      </w:r>
      <w:r>
        <w:rPr>
          <w:rFonts w:asciiTheme="majorBidi" w:hAnsiTheme="majorBidi" w:cstheme="majorBidi"/>
          <w:sz w:val="42"/>
          <w:szCs w:val="42"/>
        </w:rPr>
        <w:lastRenderedPageBreak/>
        <w:t>Abstract</w:t>
      </w:r>
    </w:p>
    <w:p w:rsidR="00EE1D16" w:rsidRDefault="00EE1D16" w:rsidP="00EE1D16">
      <w:pPr>
        <w:bidi w:val="0"/>
        <w:ind w:firstLine="720"/>
        <w:jc w:val="both"/>
        <w:rPr>
          <w:rFonts w:asciiTheme="majorBidi" w:hAnsiTheme="majorBidi" w:cstheme="majorBidi"/>
          <w:sz w:val="42"/>
          <w:szCs w:val="42"/>
        </w:rPr>
      </w:pPr>
      <w:r>
        <w:rPr>
          <w:rFonts w:asciiTheme="majorBidi" w:hAnsiTheme="majorBidi" w:cstheme="majorBidi"/>
          <w:sz w:val="42"/>
          <w:szCs w:val="42"/>
        </w:rPr>
        <w:t xml:space="preserve">This research aims </w:t>
      </w:r>
      <w:r>
        <w:rPr>
          <w:rFonts w:asciiTheme="majorBidi" w:hAnsiTheme="majorBidi" w:cstheme="majorBidi"/>
          <w:sz w:val="42"/>
          <w:szCs w:val="42"/>
          <w:lang w:val="en-GB"/>
        </w:rPr>
        <w:t xml:space="preserve">to </w:t>
      </w:r>
      <w:r>
        <w:rPr>
          <w:rFonts w:asciiTheme="majorBidi" w:hAnsiTheme="majorBidi" w:cstheme="majorBidi"/>
          <w:sz w:val="42"/>
          <w:szCs w:val="42"/>
        </w:rPr>
        <w:t xml:space="preserve">addressing the models of science of occasions of Imam </w:t>
      </w:r>
      <w:proofErr w:type="spellStart"/>
      <w:r>
        <w:rPr>
          <w:rFonts w:asciiTheme="majorBidi" w:hAnsiTheme="majorBidi" w:cstheme="majorBidi"/>
          <w:sz w:val="42"/>
          <w:szCs w:val="42"/>
        </w:rPr>
        <w:t>Razi</w:t>
      </w:r>
      <w:proofErr w:type="spellEnd"/>
      <w:r>
        <w:rPr>
          <w:rFonts w:asciiTheme="majorBidi" w:hAnsiTheme="majorBidi" w:cstheme="majorBidi"/>
          <w:sz w:val="42"/>
          <w:szCs w:val="42"/>
        </w:rPr>
        <w:t xml:space="preserve"> through his interpretation keys of the absence, to suspend aware of occasions with Qur'an, and track the faces of occasions in order to reach these results.</w:t>
      </w:r>
    </w:p>
    <w:p w:rsidR="00EE1D16" w:rsidRDefault="00EE1D16" w:rsidP="00EE1D16">
      <w:pPr>
        <w:bidi w:val="0"/>
        <w:jc w:val="both"/>
        <w:rPr>
          <w:rFonts w:asciiTheme="majorBidi" w:hAnsiTheme="majorBidi" w:cstheme="majorBidi"/>
          <w:sz w:val="42"/>
          <w:szCs w:val="42"/>
        </w:rPr>
      </w:pPr>
      <w:r>
        <w:rPr>
          <w:rFonts w:asciiTheme="majorBidi" w:hAnsiTheme="majorBidi" w:cstheme="majorBidi"/>
          <w:sz w:val="42"/>
          <w:szCs w:val="42"/>
        </w:rPr>
        <w:t>The study uses inductive and analytical approach.</w:t>
      </w:r>
    </w:p>
    <w:p w:rsidR="00EE1D16" w:rsidRDefault="00EE1D16" w:rsidP="00EE1D16">
      <w:pPr>
        <w:bidi w:val="0"/>
        <w:jc w:val="both"/>
        <w:rPr>
          <w:rFonts w:asciiTheme="majorBidi" w:hAnsiTheme="majorBidi" w:cstheme="majorBidi"/>
          <w:sz w:val="42"/>
          <w:szCs w:val="42"/>
        </w:rPr>
      </w:pPr>
      <w:r>
        <w:rPr>
          <w:rFonts w:asciiTheme="majorBidi" w:hAnsiTheme="majorBidi" w:cstheme="majorBidi"/>
          <w:sz w:val="42"/>
          <w:szCs w:val="42"/>
        </w:rPr>
        <w:t xml:space="preserve">    The research has come to many results: to respond to the allegations of the Orient lists who question the Koran constancy, and the need for more people to know this science to increase their relationship and faith in the Holy Quran, and the scientific fame of Imam </w:t>
      </w:r>
      <w:proofErr w:type="spellStart"/>
      <w:r>
        <w:rPr>
          <w:rFonts w:asciiTheme="majorBidi" w:hAnsiTheme="majorBidi" w:cstheme="majorBidi"/>
          <w:sz w:val="42"/>
          <w:szCs w:val="42"/>
        </w:rPr>
        <w:t>Razi</w:t>
      </w:r>
      <w:proofErr w:type="spellEnd"/>
      <w:r>
        <w:rPr>
          <w:rFonts w:asciiTheme="majorBidi" w:hAnsiTheme="majorBidi" w:cstheme="majorBidi"/>
          <w:sz w:val="42"/>
          <w:szCs w:val="42"/>
        </w:rPr>
        <w:t xml:space="preserve"> and the value of his works and writings and the far length in </w:t>
      </w:r>
      <w:proofErr w:type="spellStart"/>
      <w:r>
        <w:rPr>
          <w:rFonts w:asciiTheme="majorBidi" w:hAnsiTheme="majorBidi" w:cstheme="majorBidi"/>
          <w:sz w:val="42"/>
          <w:szCs w:val="42"/>
        </w:rPr>
        <w:t>this,science</w:t>
      </w:r>
      <w:proofErr w:type="spellEnd"/>
      <w:r>
        <w:rPr>
          <w:rFonts w:asciiTheme="majorBidi" w:hAnsiTheme="majorBidi" w:cstheme="majorBidi"/>
          <w:sz w:val="42"/>
          <w:szCs w:val="42"/>
        </w:rPr>
        <w:t>.</w:t>
      </w:r>
      <w:r>
        <w:rPr>
          <w:rFonts w:asciiTheme="majorBidi" w:hAnsiTheme="majorBidi" w:cstheme="majorBidi"/>
          <w:sz w:val="42"/>
          <w:szCs w:val="42"/>
        </w:rPr>
        <w:br/>
        <w:t xml:space="preserve">    The study recommend with countenance establish specialized scientific research. Partial researches should be conducted in the science of the Quran occasions, encourage specialists to prepare partial papers in the science of occasions, talking about individual species, to accommodate all the examples in the Quran.</w:t>
      </w:r>
    </w:p>
    <w:p w:rsidR="00EE1D16" w:rsidRPr="008A1409" w:rsidRDefault="00EE1D16" w:rsidP="00EE1D16">
      <w:pPr>
        <w:jc w:val="both"/>
        <w:rPr>
          <w:rFonts w:ascii="Times New Roman" w:hAnsi="Times New Roman" w:cs="Times New Roman"/>
          <w:sz w:val="36"/>
          <w:szCs w:val="36"/>
        </w:rPr>
      </w:pPr>
      <w:r w:rsidRPr="008A1409">
        <w:rPr>
          <w:rFonts w:ascii="Times New Roman" w:hAnsi="Times New Roman" w:cs="Times New Roman"/>
          <w:sz w:val="36"/>
          <w:szCs w:val="36"/>
        </w:rPr>
        <w:lastRenderedPageBreak/>
        <w:t xml:space="preserve">     </w:t>
      </w:r>
      <w:r w:rsidRPr="008A1409">
        <w:rPr>
          <w:rFonts w:ascii="Times New Roman" w:hAnsi="Times New Roman" w:cs="Times New Roman"/>
          <w:sz w:val="36"/>
          <w:szCs w:val="36"/>
          <w:rtl/>
        </w:rPr>
        <w:t>يعد علم التناسب من البحار الزاخرة التي لا تز</w:t>
      </w:r>
      <w:r>
        <w:rPr>
          <w:rFonts w:ascii="Times New Roman" w:hAnsi="Times New Roman" w:cs="Times New Roman"/>
          <w:sz w:val="36"/>
          <w:szCs w:val="36"/>
          <w:rtl/>
        </w:rPr>
        <w:t>ال تنتظر جهوداً متواصلة ودأب</w:t>
      </w:r>
      <w:r w:rsidRPr="008A1409">
        <w:rPr>
          <w:rFonts w:ascii="Times New Roman" w:hAnsi="Times New Roman" w:cs="Times New Roman"/>
          <w:sz w:val="36"/>
          <w:szCs w:val="36"/>
          <w:rtl/>
        </w:rPr>
        <w:t xml:space="preserve"> لا يكل من أجل وضع قوانينه وضبط أصوله في قاعدة تقررها ، لأنه وصل إلينا مكتملاً بصورة عملية بخلاف غيره من العلوم . </w:t>
      </w:r>
      <w:r w:rsidRPr="008A1409">
        <w:rPr>
          <w:rFonts w:ascii="Times New Roman" w:hAnsi="Times New Roman" w:cs="Times New Roman"/>
          <w:sz w:val="36"/>
          <w:szCs w:val="36"/>
        </w:rPr>
        <w:t xml:space="preserve"> </w:t>
      </w:r>
    </w:p>
    <w:p w:rsidR="00EE1D16" w:rsidRPr="008A1409" w:rsidRDefault="00EE1D16" w:rsidP="00EE1D16">
      <w:pPr>
        <w:jc w:val="both"/>
        <w:rPr>
          <w:rFonts w:ascii="Times New Roman" w:hAnsi="Times New Roman" w:cs="Times New Roman"/>
          <w:sz w:val="36"/>
          <w:szCs w:val="36"/>
          <w:rtl/>
        </w:rPr>
      </w:pPr>
      <w:r w:rsidRPr="008A1409">
        <w:rPr>
          <w:rFonts w:ascii="Times New Roman" w:hAnsi="Times New Roman" w:cs="Times New Roman"/>
          <w:sz w:val="36"/>
          <w:szCs w:val="36"/>
          <w:rtl/>
        </w:rPr>
        <w:t xml:space="preserve">فلقد قضيت شهوراً مطلعاً ومتأملاً و دارساً للمناسبات </w:t>
      </w:r>
      <w:r>
        <w:rPr>
          <w:rFonts w:ascii="Times New Roman" w:hAnsi="Times New Roman" w:cs="Times New Roman"/>
          <w:sz w:val="36"/>
          <w:szCs w:val="36"/>
          <w:rtl/>
        </w:rPr>
        <w:t xml:space="preserve">القرآنية مستهدفاً المناسبات في </w:t>
      </w:r>
      <w:r>
        <w:rPr>
          <w:rFonts w:ascii="Times New Roman" w:hAnsi="Times New Roman" w:cs="Times New Roman" w:hint="cs"/>
          <w:sz w:val="36"/>
          <w:szCs w:val="36"/>
          <w:rtl/>
        </w:rPr>
        <w:t>ت</w:t>
      </w:r>
      <w:r w:rsidRPr="008A1409">
        <w:rPr>
          <w:rFonts w:ascii="Times New Roman" w:hAnsi="Times New Roman" w:cs="Times New Roman"/>
          <w:sz w:val="36"/>
          <w:szCs w:val="36"/>
          <w:rtl/>
        </w:rPr>
        <w:t>ف</w:t>
      </w:r>
      <w:r>
        <w:rPr>
          <w:rFonts w:ascii="Times New Roman" w:hAnsi="Times New Roman" w:cs="Times New Roman" w:hint="cs"/>
          <w:sz w:val="36"/>
          <w:szCs w:val="36"/>
          <w:rtl/>
        </w:rPr>
        <w:t>س</w:t>
      </w:r>
      <w:r w:rsidRPr="008A1409">
        <w:rPr>
          <w:rFonts w:ascii="Times New Roman" w:hAnsi="Times New Roman" w:cs="Times New Roman"/>
          <w:sz w:val="36"/>
          <w:szCs w:val="36"/>
          <w:rtl/>
        </w:rPr>
        <w:t>ير الفخر الرازي بمفاتيح الغيب ، و قد ظهرت لي من خلال هذا البحث نتا</w:t>
      </w:r>
      <w:r>
        <w:rPr>
          <w:rFonts w:ascii="Times New Roman" w:hAnsi="Times New Roman" w:cs="Times New Roman"/>
          <w:sz w:val="36"/>
          <w:szCs w:val="36"/>
          <w:rtl/>
        </w:rPr>
        <w:t xml:space="preserve">ئج مهمة </w:t>
      </w:r>
      <w:r>
        <w:rPr>
          <w:rFonts w:ascii="Times New Roman" w:hAnsi="Times New Roman" w:cs="Times New Roman" w:hint="cs"/>
          <w:sz w:val="36"/>
          <w:szCs w:val="36"/>
          <w:rtl/>
        </w:rPr>
        <w:t xml:space="preserve">  </w:t>
      </w:r>
      <w:r w:rsidRPr="008A1409">
        <w:rPr>
          <w:rFonts w:ascii="Times New Roman" w:hAnsi="Times New Roman" w:cs="Times New Roman"/>
          <w:sz w:val="36"/>
          <w:szCs w:val="36"/>
          <w:rtl/>
        </w:rPr>
        <w:t xml:space="preserve"> و من أهم تلك النتائج : </w:t>
      </w:r>
    </w:p>
    <w:p w:rsidR="00EE1D16" w:rsidRPr="008A1409" w:rsidRDefault="00EE1D16" w:rsidP="00EE1D16">
      <w:pPr>
        <w:pStyle w:val="a3"/>
        <w:numPr>
          <w:ilvl w:val="0"/>
          <w:numId w:val="1"/>
        </w:numPr>
        <w:jc w:val="both"/>
        <w:rPr>
          <w:rFonts w:ascii="Times New Roman" w:hAnsi="Times New Roman" w:cs="Times New Roman"/>
          <w:sz w:val="36"/>
          <w:szCs w:val="36"/>
          <w:rtl/>
        </w:rPr>
      </w:pPr>
      <w:r w:rsidRPr="008A1409">
        <w:rPr>
          <w:rFonts w:ascii="Times New Roman" w:hAnsi="Times New Roman" w:cs="Times New Roman"/>
          <w:sz w:val="36"/>
          <w:szCs w:val="36"/>
          <w:rtl/>
        </w:rPr>
        <w:t xml:space="preserve">إن علم المناسبات القرآنية علمُ ذو وجوه </w:t>
      </w:r>
      <w:proofErr w:type="spellStart"/>
      <w:r w:rsidRPr="008A1409">
        <w:rPr>
          <w:rFonts w:ascii="Times New Roman" w:hAnsi="Times New Roman" w:cs="Times New Roman"/>
          <w:sz w:val="36"/>
          <w:szCs w:val="36"/>
          <w:rtl/>
        </w:rPr>
        <w:t>إعجازية</w:t>
      </w:r>
      <w:proofErr w:type="spellEnd"/>
      <w:r w:rsidRPr="008A1409">
        <w:rPr>
          <w:rFonts w:ascii="Times New Roman" w:hAnsi="Times New Roman" w:cs="Times New Roman"/>
          <w:sz w:val="36"/>
          <w:szCs w:val="36"/>
          <w:rtl/>
        </w:rPr>
        <w:t xml:space="preserve"> بلاغية متعددة .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أن استنباط المناسبات القرآنية يعتمد على التأمل</w:t>
      </w:r>
      <w:r>
        <w:rPr>
          <w:rFonts w:ascii="Times New Roman" w:hAnsi="Times New Roman" w:cs="Times New Roman"/>
          <w:sz w:val="36"/>
          <w:szCs w:val="36"/>
          <w:rtl/>
        </w:rPr>
        <w:t xml:space="preserve"> و ال</w:t>
      </w:r>
      <w:r>
        <w:rPr>
          <w:rFonts w:ascii="Times New Roman" w:hAnsi="Times New Roman" w:cs="Times New Roman" w:hint="cs"/>
          <w:sz w:val="36"/>
          <w:szCs w:val="36"/>
          <w:rtl/>
        </w:rPr>
        <w:t>تدبر</w:t>
      </w:r>
      <w:r w:rsidRPr="008A1409">
        <w:rPr>
          <w:rFonts w:ascii="Times New Roman" w:hAnsi="Times New Roman" w:cs="Times New Roman"/>
          <w:sz w:val="36"/>
          <w:szCs w:val="36"/>
          <w:rtl/>
        </w:rPr>
        <w:t xml:space="preserve"> مع ربط ذلك بمحور السورة الرئيسي ، و أغراضها المختلفة مع  عدم إغفال النظر إلى سبب النزول . </w:t>
      </w:r>
    </w:p>
    <w:p w:rsidR="00EE1D16" w:rsidRPr="002F6894" w:rsidRDefault="00EE1D16" w:rsidP="00EE1D16">
      <w:pPr>
        <w:pStyle w:val="a3"/>
        <w:numPr>
          <w:ilvl w:val="0"/>
          <w:numId w:val="1"/>
        </w:numPr>
        <w:jc w:val="both"/>
        <w:rPr>
          <w:rFonts w:ascii="Times New Roman" w:hAnsi="Times New Roman" w:cs="Times New Roman"/>
          <w:sz w:val="34"/>
          <w:szCs w:val="34"/>
        </w:rPr>
      </w:pPr>
      <w:r w:rsidRPr="002F6894">
        <w:rPr>
          <w:rFonts w:ascii="Times New Roman" w:hAnsi="Times New Roman" w:cs="Times New Roman"/>
          <w:sz w:val="34"/>
          <w:szCs w:val="34"/>
          <w:rtl/>
        </w:rPr>
        <w:t xml:space="preserve">إن المناسبات بين الآيات موجودة لا محالة ، و إنما قد تظهر تارة </w:t>
      </w:r>
      <w:r w:rsidRPr="002F6894">
        <w:rPr>
          <w:rFonts w:ascii="Times New Roman" w:hAnsi="Times New Roman" w:cs="Times New Roman" w:hint="cs"/>
          <w:sz w:val="34"/>
          <w:szCs w:val="34"/>
          <w:rtl/>
        </w:rPr>
        <w:t>و</w:t>
      </w:r>
      <w:r w:rsidRPr="002F6894">
        <w:rPr>
          <w:rFonts w:ascii="Times New Roman" w:hAnsi="Times New Roman" w:cs="Times New Roman"/>
          <w:sz w:val="34"/>
          <w:szCs w:val="34"/>
          <w:rtl/>
        </w:rPr>
        <w:t xml:space="preserve"> تختفي  أخرى ، فإذا لم تظهر للمفسر لا ينبغي له التكلف في طلبها ، فالتكلف في ذلك أمر غير محمود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أن العمل على إظهار المناسبات القرآنية و أبر</w:t>
      </w:r>
      <w:r>
        <w:rPr>
          <w:rFonts w:ascii="Times New Roman" w:hAnsi="Times New Roman" w:cs="Times New Roman" w:hint="cs"/>
          <w:sz w:val="36"/>
          <w:szCs w:val="36"/>
          <w:rtl/>
        </w:rPr>
        <w:t>ا</w:t>
      </w:r>
      <w:r w:rsidRPr="008A1409">
        <w:rPr>
          <w:rFonts w:ascii="Times New Roman" w:hAnsi="Times New Roman" w:cs="Times New Roman"/>
          <w:sz w:val="36"/>
          <w:szCs w:val="36"/>
          <w:rtl/>
        </w:rPr>
        <w:t xml:space="preserve">زها فيه رد قاطع على كل من يشكك في ترابط القرآن الكريم من المستشرقين و غيرهم .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أن الآية قد يكون لها أكثر من مناسبة من أوجه مختلفة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 xml:space="preserve"> أن هناك ارتباطا وثيقاً بين اسم السورة وبين أهم أغراضها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 xml:space="preserve"> </w:t>
      </w:r>
      <w:r w:rsidRPr="008A1409">
        <w:rPr>
          <w:rFonts w:ascii="Times New Roman" w:hAnsi="Times New Roman" w:cs="Times New Roman" w:hint="cs"/>
          <w:sz w:val="36"/>
          <w:szCs w:val="36"/>
          <w:rtl/>
        </w:rPr>
        <w:t>أن الفخر الرازي كان ذا باع في علم المناسبات القرآنية .</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أن  الفخر الرازي يشير إلي المناسبات بين الآيات والمقاطع ، وفي أج</w:t>
      </w:r>
      <w:r>
        <w:rPr>
          <w:rFonts w:ascii="Times New Roman" w:hAnsi="Times New Roman" w:cs="Times New Roman"/>
          <w:sz w:val="36"/>
          <w:szCs w:val="36"/>
          <w:rtl/>
        </w:rPr>
        <w:t>زاء الآية الواحدة ، ولا يشير إل</w:t>
      </w:r>
      <w:r>
        <w:rPr>
          <w:rFonts w:ascii="Times New Roman" w:hAnsi="Times New Roman" w:cs="Times New Roman" w:hint="cs"/>
          <w:sz w:val="36"/>
          <w:szCs w:val="36"/>
          <w:rtl/>
        </w:rPr>
        <w:t>ى</w:t>
      </w:r>
      <w:r>
        <w:rPr>
          <w:rFonts w:ascii="Times New Roman" w:hAnsi="Times New Roman" w:cs="Times New Roman"/>
          <w:sz w:val="36"/>
          <w:szCs w:val="36"/>
          <w:rtl/>
        </w:rPr>
        <w:t xml:space="preserve"> المناسبات بين السور ، وكونه ير</w:t>
      </w:r>
      <w:r>
        <w:rPr>
          <w:rFonts w:ascii="Times New Roman" w:hAnsi="Times New Roman" w:cs="Times New Roman" w:hint="cs"/>
          <w:sz w:val="36"/>
          <w:szCs w:val="36"/>
          <w:rtl/>
        </w:rPr>
        <w:t>ى</w:t>
      </w:r>
      <w:r>
        <w:rPr>
          <w:rFonts w:ascii="Times New Roman" w:hAnsi="Times New Roman" w:cs="Times New Roman"/>
          <w:sz w:val="36"/>
          <w:szCs w:val="36"/>
          <w:rtl/>
        </w:rPr>
        <w:t xml:space="preserve"> أن ذلك مما لا</w:t>
      </w:r>
      <w:r>
        <w:rPr>
          <w:rFonts w:ascii="Times New Roman" w:hAnsi="Times New Roman" w:cs="Times New Roman" w:hint="cs"/>
          <w:sz w:val="36"/>
          <w:szCs w:val="36"/>
          <w:rtl/>
        </w:rPr>
        <w:t xml:space="preserve"> </w:t>
      </w:r>
      <w:r>
        <w:rPr>
          <w:rFonts w:ascii="Times New Roman" w:hAnsi="Times New Roman" w:cs="Times New Roman"/>
          <w:sz w:val="36"/>
          <w:szCs w:val="36"/>
          <w:rtl/>
        </w:rPr>
        <w:t xml:space="preserve">حاجة إليه </w:t>
      </w:r>
      <w:r>
        <w:rPr>
          <w:rFonts w:ascii="Times New Roman" w:hAnsi="Times New Roman" w:cs="Times New Roman" w:hint="cs"/>
          <w:sz w:val="36"/>
          <w:szCs w:val="36"/>
          <w:rtl/>
        </w:rPr>
        <w:t>.</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 xml:space="preserve"> أن هناك أثراً يظهر في كل مناسبة ، وهذا يزيد من وضوح غرض الآية ومقصودها.</w:t>
      </w:r>
    </w:p>
    <w:p w:rsidR="00EE1D16" w:rsidRPr="008A1409" w:rsidRDefault="00EE1D16" w:rsidP="00EE1D16">
      <w:pPr>
        <w:pStyle w:val="a3"/>
        <w:numPr>
          <w:ilvl w:val="0"/>
          <w:numId w:val="1"/>
        </w:numPr>
        <w:jc w:val="both"/>
        <w:rPr>
          <w:rFonts w:ascii="Times New Roman" w:hAnsi="Times New Roman" w:cs="Times New Roman"/>
          <w:sz w:val="36"/>
          <w:szCs w:val="36"/>
        </w:rPr>
      </w:pPr>
      <w:r w:rsidRPr="008A1409">
        <w:rPr>
          <w:rFonts w:ascii="Times New Roman" w:hAnsi="Times New Roman" w:cs="Times New Roman"/>
          <w:sz w:val="36"/>
          <w:szCs w:val="36"/>
          <w:rtl/>
        </w:rPr>
        <w:t>و</w:t>
      </w:r>
      <w:r>
        <w:rPr>
          <w:rFonts w:ascii="Times New Roman" w:hAnsi="Times New Roman" w:cs="Times New Roman"/>
          <w:sz w:val="36"/>
          <w:szCs w:val="36"/>
          <w:rtl/>
        </w:rPr>
        <w:t>أن هناك مناسبة تعلق السورة ب</w:t>
      </w:r>
      <w:r>
        <w:rPr>
          <w:rFonts w:ascii="Times New Roman" w:hAnsi="Times New Roman" w:cs="Times New Roman" w:hint="cs"/>
          <w:sz w:val="36"/>
          <w:szCs w:val="36"/>
          <w:rtl/>
        </w:rPr>
        <w:t>عدد</w:t>
      </w:r>
      <w:r w:rsidRPr="008A1409">
        <w:rPr>
          <w:rFonts w:ascii="Times New Roman" w:hAnsi="Times New Roman" w:cs="Times New Roman"/>
          <w:sz w:val="36"/>
          <w:szCs w:val="36"/>
          <w:rtl/>
        </w:rPr>
        <w:t xml:space="preserve"> من </w:t>
      </w:r>
      <w:r>
        <w:rPr>
          <w:rFonts w:ascii="Times New Roman" w:hAnsi="Times New Roman" w:cs="Times New Roman" w:hint="cs"/>
          <w:sz w:val="36"/>
          <w:szCs w:val="36"/>
          <w:rtl/>
        </w:rPr>
        <w:t>ال</w:t>
      </w:r>
      <w:r w:rsidRPr="008A1409">
        <w:rPr>
          <w:rFonts w:ascii="Times New Roman" w:hAnsi="Times New Roman" w:cs="Times New Roman"/>
          <w:sz w:val="36"/>
          <w:szCs w:val="36"/>
          <w:rtl/>
        </w:rPr>
        <w:t>سورة .</w:t>
      </w:r>
    </w:p>
    <w:p w:rsidR="00EE1D16" w:rsidRPr="000564DD" w:rsidRDefault="00EE1D16" w:rsidP="00EE1D16">
      <w:pPr>
        <w:jc w:val="both"/>
        <w:rPr>
          <w:rFonts w:ascii="Times New Roman" w:hAnsi="Times New Roman" w:cs="Times New Roman" w:hint="cs"/>
          <w:b/>
          <w:bCs/>
          <w:sz w:val="32"/>
          <w:szCs w:val="32"/>
          <w:rtl/>
        </w:rPr>
      </w:pPr>
    </w:p>
    <w:p w:rsidR="00EE1D16" w:rsidRDefault="00EE1D16" w:rsidP="00EE1D16">
      <w:pPr>
        <w:jc w:val="both"/>
        <w:rPr>
          <w:rFonts w:ascii="Times New Roman" w:hAnsi="Times New Roman" w:cs="Times New Roman" w:hint="cs"/>
          <w:b/>
          <w:bCs/>
          <w:sz w:val="32"/>
          <w:szCs w:val="32"/>
          <w:rtl/>
        </w:rPr>
      </w:pPr>
    </w:p>
    <w:p w:rsidR="00EE1D16" w:rsidRDefault="00EE1D16" w:rsidP="00EE1D16">
      <w:pPr>
        <w:jc w:val="both"/>
        <w:rPr>
          <w:rFonts w:ascii="Times New Roman" w:hAnsi="Times New Roman" w:cs="Times New Roman" w:hint="cs"/>
          <w:b/>
          <w:bCs/>
          <w:sz w:val="32"/>
          <w:szCs w:val="32"/>
          <w:rtl/>
        </w:rPr>
      </w:pPr>
    </w:p>
    <w:p w:rsidR="00EE1D16" w:rsidRDefault="00EE1D16" w:rsidP="00EE1D16">
      <w:pPr>
        <w:jc w:val="both"/>
        <w:rPr>
          <w:rFonts w:ascii="Times New Roman" w:hAnsi="Times New Roman" w:cs="Times New Roman" w:hint="cs"/>
          <w:b/>
          <w:bCs/>
          <w:sz w:val="32"/>
          <w:szCs w:val="32"/>
          <w:rtl/>
        </w:rPr>
      </w:pPr>
    </w:p>
    <w:p w:rsidR="00EE1D16" w:rsidRDefault="00EE1D16" w:rsidP="00EE1D16">
      <w:pPr>
        <w:jc w:val="both"/>
        <w:rPr>
          <w:rFonts w:ascii="Times New Roman" w:hAnsi="Times New Roman" w:cs="Times New Roman" w:hint="cs"/>
          <w:b/>
          <w:bCs/>
          <w:sz w:val="32"/>
          <w:szCs w:val="32"/>
          <w:rtl/>
        </w:rPr>
      </w:pPr>
    </w:p>
    <w:p w:rsidR="00EE1D16" w:rsidRPr="000779D8" w:rsidRDefault="00EE1D16" w:rsidP="00EE1D16">
      <w:pPr>
        <w:jc w:val="both"/>
        <w:rPr>
          <w:rFonts w:ascii="Times New Roman" w:hAnsi="Times New Roman" w:cs="Times New Roman"/>
          <w:sz w:val="44"/>
          <w:szCs w:val="44"/>
          <w:rtl/>
        </w:rPr>
      </w:pPr>
      <w:r>
        <w:rPr>
          <w:rFonts w:ascii="Times New Roman" w:hAnsi="Times New Roman" w:cs="Times New Roman" w:hint="cs"/>
          <w:b/>
          <w:bCs/>
          <w:sz w:val="32"/>
          <w:szCs w:val="32"/>
          <w:rtl/>
        </w:rPr>
        <w:t xml:space="preserve">     </w:t>
      </w:r>
      <w:r w:rsidRPr="000779D8">
        <w:rPr>
          <w:rFonts w:ascii="Times New Roman" w:hAnsi="Times New Roman" w:cs="Times New Roman"/>
          <w:b/>
          <w:bCs/>
          <w:sz w:val="44"/>
          <w:szCs w:val="44"/>
          <w:rtl/>
        </w:rPr>
        <w:t>التوصيات :</w:t>
      </w:r>
    </w:p>
    <w:p w:rsidR="00EE1D16" w:rsidRPr="008A1409" w:rsidRDefault="00EE1D16" w:rsidP="00EE1D16">
      <w:pPr>
        <w:pStyle w:val="a3"/>
        <w:numPr>
          <w:ilvl w:val="0"/>
          <w:numId w:val="2"/>
        </w:numPr>
        <w:jc w:val="both"/>
        <w:rPr>
          <w:rFonts w:ascii="Times New Roman" w:hAnsi="Times New Roman" w:cs="Times New Roman"/>
          <w:sz w:val="40"/>
          <w:szCs w:val="40"/>
          <w:rtl/>
        </w:rPr>
      </w:pPr>
      <w:r>
        <w:rPr>
          <w:rFonts w:ascii="Times New Roman" w:hAnsi="Times New Roman" w:cs="Times New Roman" w:hint="cs"/>
          <w:sz w:val="40"/>
          <w:szCs w:val="40"/>
          <w:rtl/>
        </w:rPr>
        <w:t xml:space="preserve"> </w:t>
      </w:r>
      <w:r w:rsidRPr="008A1409">
        <w:rPr>
          <w:rFonts w:ascii="Times New Roman" w:hAnsi="Times New Roman" w:cs="Times New Roman"/>
          <w:sz w:val="40"/>
          <w:szCs w:val="40"/>
          <w:rtl/>
        </w:rPr>
        <w:t>قيام الجامعات ومراكز الب</w:t>
      </w:r>
      <w:r>
        <w:rPr>
          <w:rFonts w:ascii="Times New Roman" w:hAnsi="Times New Roman" w:cs="Times New Roman"/>
          <w:sz w:val="40"/>
          <w:szCs w:val="40"/>
          <w:rtl/>
        </w:rPr>
        <w:t>حوث العلمية بتشجيع المتخصصين عل</w:t>
      </w:r>
      <w:r>
        <w:rPr>
          <w:rFonts w:ascii="Times New Roman" w:hAnsi="Times New Roman" w:cs="Times New Roman" w:hint="cs"/>
          <w:sz w:val="40"/>
          <w:szCs w:val="40"/>
          <w:rtl/>
        </w:rPr>
        <w:t>ى</w:t>
      </w:r>
      <w:r w:rsidRPr="008A1409">
        <w:rPr>
          <w:rFonts w:ascii="Times New Roman" w:hAnsi="Times New Roman" w:cs="Times New Roman"/>
          <w:sz w:val="40"/>
          <w:szCs w:val="40"/>
          <w:rtl/>
        </w:rPr>
        <w:t xml:space="preserve"> القيام بإعداد بحوث جزئية في علم</w:t>
      </w:r>
      <w:r>
        <w:rPr>
          <w:rFonts w:ascii="Times New Roman" w:hAnsi="Times New Roman" w:cs="Times New Roman"/>
          <w:sz w:val="40"/>
          <w:szCs w:val="40"/>
          <w:rtl/>
        </w:rPr>
        <w:t xml:space="preserve"> المناسبات ، تتحدث عن كل نوع عل</w:t>
      </w:r>
      <w:r>
        <w:rPr>
          <w:rFonts w:ascii="Times New Roman" w:hAnsi="Times New Roman" w:cs="Times New Roman" w:hint="cs"/>
          <w:sz w:val="40"/>
          <w:szCs w:val="40"/>
          <w:rtl/>
        </w:rPr>
        <w:t>ى</w:t>
      </w:r>
      <w:r>
        <w:rPr>
          <w:rFonts w:ascii="Times New Roman" w:hAnsi="Times New Roman" w:cs="Times New Roman"/>
          <w:sz w:val="40"/>
          <w:szCs w:val="40"/>
          <w:rtl/>
        </w:rPr>
        <w:t xml:space="preserve"> حده </w:t>
      </w:r>
      <w:r w:rsidRPr="008A1409">
        <w:rPr>
          <w:rFonts w:ascii="Times New Roman" w:hAnsi="Times New Roman" w:cs="Times New Roman"/>
          <w:sz w:val="40"/>
          <w:szCs w:val="40"/>
          <w:rtl/>
        </w:rPr>
        <w:t xml:space="preserve"> وتستوعب جميع أمثلتها في القران الكريم .</w:t>
      </w:r>
    </w:p>
    <w:p w:rsidR="00EE1D16" w:rsidRPr="008A1409" w:rsidRDefault="00EE1D16" w:rsidP="00EE1D16">
      <w:pPr>
        <w:pStyle w:val="a3"/>
        <w:numPr>
          <w:ilvl w:val="0"/>
          <w:numId w:val="2"/>
        </w:numPr>
        <w:jc w:val="both"/>
        <w:rPr>
          <w:rFonts w:ascii="Times New Roman" w:hAnsi="Times New Roman" w:cs="Times New Roman"/>
          <w:sz w:val="40"/>
          <w:szCs w:val="40"/>
        </w:rPr>
      </w:pPr>
      <w:r>
        <w:rPr>
          <w:rFonts w:ascii="Times New Roman" w:hAnsi="Times New Roman" w:cs="Times New Roman" w:hint="cs"/>
          <w:sz w:val="40"/>
          <w:szCs w:val="40"/>
          <w:rtl/>
        </w:rPr>
        <w:t xml:space="preserve"> </w:t>
      </w:r>
      <w:r w:rsidRPr="008A1409">
        <w:rPr>
          <w:rFonts w:ascii="Times New Roman" w:hAnsi="Times New Roman" w:cs="Times New Roman"/>
          <w:sz w:val="40"/>
          <w:szCs w:val="40"/>
          <w:rtl/>
        </w:rPr>
        <w:t>محاولة ترجمة هذه البحوث إل</w:t>
      </w:r>
      <w:r>
        <w:rPr>
          <w:rFonts w:ascii="Times New Roman" w:hAnsi="Times New Roman" w:cs="Times New Roman" w:hint="cs"/>
          <w:sz w:val="40"/>
          <w:szCs w:val="40"/>
          <w:rtl/>
        </w:rPr>
        <w:t>ى</w:t>
      </w:r>
      <w:r>
        <w:rPr>
          <w:rFonts w:ascii="Times New Roman" w:hAnsi="Times New Roman" w:cs="Times New Roman"/>
          <w:sz w:val="40"/>
          <w:szCs w:val="40"/>
          <w:rtl/>
        </w:rPr>
        <w:t xml:space="preserve"> لغات أخر</w:t>
      </w:r>
      <w:r>
        <w:rPr>
          <w:rFonts w:ascii="Times New Roman" w:hAnsi="Times New Roman" w:cs="Times New Roman" w:hint="cs"/>
          <w:sz w:val="40"/>
          <w:szCs w:val="40"/>
          <w:rtl/>
        </w:rPr>
        <w:t>ى</w:t>
      </w:r>
      <w:r>
        <w:rPr>
          <w:rFonts w:ascii="Times New Roman" w:hAnsi="Times New Roman" w:cs="Times New Roman"/>
          <w:sz w:val="40"/>
          <w:szCs w:val="40"/>
          <w:rtl/>
        </w:rPr>
        <w:t xml:space="preserve"> خصوصاّ التي يسهل عل</w:t>
      </w:r>
      <w:r>
        <w:rPr>
          <w:rFonts w:ascii="Times New Roman" w:hAnsi="Times New Roman" w:cs="Times New Roman" w:hint="cs"/>
          <w:sz w:val="40"/>
          <w:szCs w:val="40"/>
          <w:rtl/>
        </w:rPr>
        <w:t>ى</w:t>
      </w:r>
      <w:r w:rsidRPr="008A1409">
        <w:rPr>
          <w:rFonts w:ascii="Times New Roman" w:hAnsi="Times New Roman" w:cs="Times New Roman"/>
          <w:sz w:val="40"/>
          <w:szCs w:val="40"/>
          <w:rtl/>
        </w:rPr>
        <w:t xml:space="preserve"> غير العرب إدراكها وفهمها ، ولِما لهذه الترجمة من بيان إعجاز ا</w:t>
      </w:r>
      <w:r>
        <w:rPr>
          <w:rFonts w:ascii="Times New Roman" w:hAnsi="Times New Roman" w:cs="Times New Roman"/>
          <w:sz w:val="40"/>
          <w:szCs w:val="40"/>
          <w:rtl/>
        </w:rPr>
        <w:t xml:space="preserve">لقرآن الكريم في ترتيبه وبلاغته </w:t>
      </w:r>
      <w:r>
        <w:rPr>
          <w:rFonts w:ascii="Times New Roman" w:hAnsi="Times New Roman" w:cs="Times New Roman" w:hint="cs"/>
          <w:sz w:val="40"/>
          <w:szCs w:val="40"/>
          <w:rtl/>
        </w:rPr>
        <w:t>،</w:t>
      </w:r>
      <w:r w:rsidRPr="008A1409">
        <w:rPr>
          <w:rFonts w:ascii="Times New Roman" w:hAnsi="Times New Roman" w:cs="Times New Roman"/>
          <w:sz w:val="40"/>
          <w:szCs w:val="40"/>
          <w:rtl/>
        </w:rPr>
        <w:t xml:space="preserve"> فيكون مدعاة لدخول غير المسلمين في الإسلام ، نسأل الله لنا ولهم </w:t>
      </w:r>
      <w:proofErr w:type="spellStart"/>
      <w:r w:rsidRPr="008A1409">
        <w:rPr>
          <w:rFonts w:ascii="Times New Roman" w:hAnsi="Times New Roman" w:cs="Times New Roman" w:hint="cs"/>
          <w:sz w:val="40"/>
          <w:szCs w:val="40"/>
          <w:rtl/>
        </w:rPr>
        <w:t>الهداية</w:t>
      </w:r>
      <w:proofErr w:type="spellEnd"/>
      <w:r w:rsidRPr="008A1409">
        <w:rPr>
          <w:rFonts w:ascii="Times New Roman" w:hAnsi="Times New Roman" w:cs="Times New Roman"/>
          <w:sz w:val="40"/>
          <w:szCs w:val="40"/>
          <w:rtl/>
        </w:rPr>
        <w:t xml:space="preserve"> .</w:t>
      </w:r>
    </w:p>
    <w:p w:rsidR="00EE1D16" w:rsidRPr="008A1409" w:rsidRDefault="00EE1D16" w:rsidP="00EE1D16">
      <w:pPr>
        <w:pStyle w:val="a3"/>
        <w:numPr>
          <w:ilvl w:val="0"/>
          <w:numId w:val="2"/>
        </w:numPr>
        <w:jc w:val="both"/>
        <w:rPr>
          <w:rFonts w:ascii="Times New Roman" w:hAnsi="Times New Roman" w:cs="Times New Roman"/>
          <w:sz w:val="40"/>
          <w:szCs w:val="40"/>
        </w:rPr>
      </w:pPr>
      <w:r w:rsidRPr="008A1409">
        <w:rPr>
          <w:rFonts w:ascii="Times New Roman" w:hAnsi="Times New Roman" w:cs="Times New Roman"/>
          <w:sz w:val="40"/>
          <w:szCs w:val="40"/>
          <w:rtl/>
        </w:rPr>
        <w:t xml:space="preserve"> </w:t>
      </w:r>
      <w:r w:rsidRPr="008A1409">
        <w:rPr>
          <w:rFonts w:ascii="Times New Roman" w:hAnsi="Times New Roman" w:cs="Times New Roman" w:hint="cs"/>
          <w:sz w:val="40"/>
          <w:szCs w:val="40"/>
          <w:rtl/>
        </w:rPr>
        <w:t xml:space="preserve">الاهتمام بهذا العلم في أقسام التفسير في الكليات ، لِما في هذا العلم من ملكة استنباط الإعجاز البياني في القرآن الكريم . </w:t>
      </w:r>
    </w:p>
    <w:p w:rsidR="00EE1D16" w:rsidRPr="008A1409" w:rsidRDefault="00EE1D16" w:rsidP="00EE1D16">
      <w:pPr>
        <w:pStyle w:val="a3"/>
        <w:jc w:val="both"/>
        <w:rPr>
          <w:rFonts w:ascii="Times New Roman" w:hAnsi="Times New Roman" w:cs="Times New Roman" w:hint="cs"/>
          <w:sz w:val="40"/>
          <w:szCs w:val="40"/>
          <w:rtl/>
        </w:rPr>
      </w:pPr>
      <w:r w:rsidRPr="008A1409">
        <w:rPr>
          <w:rFonts w:ascii="Times New Roman" w:hAnsi="Times New Roman" w:cs="Times New Roman"/>
          <w:sz w:val="40"/>
          <w:szCs w:val="40"/>
          <w:rtl/>
        </w:rPr>
        <w:t xml:space="preserve">                   وأسأل الله الكريم ، رب العرش العظيم أن يجعل هذا العمل خالصاً لوجهه الكريم ، وأن ينفع </w:t>
      </w:r>
      <w:proofErr w:type="spellStart"/>
      <w:r w:rsidRPr="008A1409">
        <w:rPr>
          <w:rFonts w:ascii="Times New Roman" w:hAnsi="Times New Roman" w:cs="Times New Roman"/>
          <w:sz w:val="40"/>
          <w:szCs w:val="40"/>
          <w:rtl/>
        </w:rPr>
        <w:t>به</w:t>
      </w:r>
      <w:proofErr w:type="spellEnd"/>
      <w:r w:rsidRPr="008A1409">
        <w:rPr>
          <w:rFonts w:ascii="Times New Roman" w:hAnsi="Times New Roman" w:cs="Times New Roman"/>
          <w:sz w:val="40"/>
          <w:szCs w:val="40"/>
          <w:rtl/>
        </w:rPr>
        <w:t xml:space="preserve"> كل مطّلع وباحث .</w:t>
      </w: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pStyle w:val="a3"/>
        <w:jc w:val="both"/>
        <w:rPr>
          <w:rFonts w:ascii="Times New Roman" w:hAnsi="Times New Roman" w:cs="Times New Roman" w:hint="cs"/>
          <w:sz w:val="32"/>
          <w:szCs w:val="32"/>
          <w:rtl/>
        </w:rPr>
      </w:pPr>
    </w:p>
    <w:p w:rsidR="00EE1D16" w:rsidRDefault="00EE1D16" w:rsidP="00EE1D16">
      <w:pPr>
        <w:jc w:val="both"/>
        <w:rPr>
          <w:rFonts w:hint="cs"/>
          <w:b/>
          <w:bCs/>
          <w:sz w:val="32"/>
          <w:szCs w:val="32"/>
          <w:rtl/>
        </w:rPr>
      </w:pPr>
    </w:p>
    <w:p w:rsidR="00EE1D16" w:rsidRPr="000779D8" w:rsidRDefault="00EE1D16" w:rsidP="00EE1D16">
      <w:pPr>
        <w:jc w:val="center"/>
        <w:rPr>
          <w:b/>
          <w:bCs/>
          <w:sz w:val="40"/>
          <w:szCs w:val="40"/>
          <w:rtl/>
        </w:rPr>
      </w:pPr>
      <w:r>
        <w:rPr>
          <w:b/>
          <w:bCs/>
          <w:sz w:val="40"/>
          <w:szCs w:val="40"/>
          <w:rtl/>
        </w:rPr>
        <w:t>فهرس المصادر والمراجع</w:t>
      </w:r>
    </w:p>
    <w:p w:rsidR="00EE1D16" w:rsidRDefault="00EE1D16" w:rsidP="00EE1D16">
      <w:pPr>
        <w:pStyle w:val="a3"/>
        <w:numPr>
          <w:ilvl w:val="0"/>
          <w:numId w:val="3"/>
        </w:numPr>
        <w:jc w:val="both"/>
        <w:rPr>
          <w:sz w:val="32"/>
          <w:szCs w:val="32"/>
          <w:rtl/>
        </w:rPr>
      </w:pPr>
      <w:r>
        <w:rPr>
          <w:sz w:val="32"/>
          <w:szCs w:val="32"/>
          <w:rtl/>
        </w:rPr>
        <w:t>القرآن الكريم.</w:t>
      </w:r>
    </w:p>
    <w:p w:rsidR="00EE1D16" w:rsidRDefault="00EE1D16" w:rsidP="00EE1D16">
      <w:pPr>
        <w:pStyle w:val="a3"/>
        <w:numPr>
          <w:ilvl w:val="0"/>
          <w:numId w:val="3"/>
        </w:numPr>
        <w:jc w:val="both"/>
        <w:rPr>
          <w:sz w:val="32"/>
          <w:szCs w:val="32"/>
        </w:rPr>
      </w:pPr>
      <w:r>
        <w:rPr>
          <w:sz w:val="32"/>
          <w:szCs w:val="32"/>
          <w:rtl/>
        </w:rPr>
        <w:t xml:space="preserve">الإتقان في علوم القرآن ،للحافظ جلال الدين السيوطي، (طبع مؤسسة فؤاد </w:t>
      </w:r>
      <w:proofErr w:type="spellStart"/>
      <w:r>
        <w:rPr>
          <w:sz w:val="32"/>
          <w:szCs w:val="32"/>
          <w:rtl/>
        </w:rPr>
        <w:t>بعينو</w:t>
      </w:r>
      <w:proofErr w:type="spellEnd"/>
      <w:r>
        <w:rPr>
          <w:sz w:val="32"/>
          <w:szCs w:val="32"/>
          <w:rtl/>
        </w:rPr>
        <w:t xml:space="preserve"> للتجليد).</w:t>
      </w:r>
    </w:p>
    <w:p w:rsidR="00EE1D16" w:rsidRDefault="00EE1D16" w:rsidP="00EE1D16">
      <w:pPr>
        <w:pStyle w:val="a3"/>
        <w:numPr>
          <w:ilvl w:val="0"/>
          <w:numId w:val="3"/>
        </w:numPr>
        <w:jc w:val="both"/>
        <w:rPr>
          <w:sz w:val="32"/>
          <w:szCs w:val="32"/>
        </w:rPr>
      </w:pPr>
      <w:r>
        <w:rPr>
          <w:sz w:val="32"/>
          <w:szCs w:val="32"/>
          <w:rtl/>
        </w:rPr>
        <w:t xml:space="preserve">إرشاد العقل السليم إلي مزايا الكتاب العزيز، لأبي السعود،(طبعة دار الكتب العلمية، توزيع مكتبة عباس أحمد </w:t>
      </w:r>
      <w:proofErr w:type="spellStart"/>
      <w:r>
        <w:rPr>
          <w:sz w:val="32"/>
          <w:szCs w:val="32"/>
          <w:rtl/>
        </w:rPr>
        <w:t>الباز</w:t>
      </w:r>
      <w:proofErr w:type="spellEnd"/>
      <w:r>
        <w:rPr>
          <w:sz w:val="32"/>
          <w:szCs w:val="32"/>
          <w:rtl/>
        </w:rPr>
        <w:t>).</w:t>
      </w:r>
    </w:p>
    <w:p w:rsidR="00EE1D16" w:rsidRDefault="00EE1D16" w:rsidP="00EE1D16">
      <w:pPr>
        <w:pStyle w:val="a3"/>
        <w:numPr>
          <w:ilvl w:val="0"/>
          <w:numId w:val="3"/>
        </w:numPr>
        <w:jc w:val="both"/>
        <w:rPr>
          <w:sz w:val="32"/>
          <w:szCs w:val="32"/>
        </w:rPr>
      </w:pPr>
      <w:r>
        <w:rPr>
          <w:sz w:val="32"/>
          <w:szCs w:val="32"/>
          <w:rtl/>
        </w:rPr>
        <w:t xml:space="preserve"> البرهان في علوم القرآن ، لبدر الدين </w:t>
      </w:r>
      <w:proofErr w:type="spellStart"/>
      <w:r>
        <w:rPr>
          <w:sz w:val="32"/>
          <w:szCs w:val="32"/>
          <w:rtl/>
        </w:rPr>
        <w:t>الزركشي</w:t>
      </w:r>
      <w:proofErr w:type="spellEnd"/>
      <w:r>
        <w:rPr>
          <w:sz w:val="32"/>
          <w:szCs w:val="32"/>
          <w:rtl/>
        </w:rPr>
        <w:t>، (طبعة دار الكتب العلمية ).</w:t>
      </w:r>
    </w:p>
    <w:p w:rsidR="00EE1D16" w:rsidRDefault="00EE1D16" w:rsidP="00EE1D16">
      <w:pPr>
        <w:pStyle w:val="a3"/>
        <w:numPr>
          <w:ilvl w:val="0"/>
          <w:numId w:val="3"/>
        </w:numPr>
        <w:jc w:val="both"/>
        <w:rPr>
          <w:sz w:val="32"/>
          <w:szCs w:val="32"/>
        </w:rPr>
      </w:pPr>
      <w:r>
        <w:rPr>
          <w:sz w:val="32"/>
          <w:szCs w:val="32"/>
          <w:rtl/>
        </w:rPr>
        <w:t xml:space="preserve"> أسد الغابة في معرفة الصحابة ، لعز الدين أبن الأثير الجزري، ( طبعة دار الكتب العلمية ).</w:t>
      </w:r>
    </w:p>
    <w:p w:rsidR="00EE1D16" w:rsidRDefault="00EE1D16" w:rsidP="00EE1D16">
      <w:pPr>
        <w:pStyle w:val="a3"/>
        <w:numPr>
          <w:ilvl w:val="0"/>
          <w:numId w:val="3"/>
        </w:numPr>
        <w:jc w:val="both"/>
        <w:rPr>
          <w:sz w:val="32"/>
          <w:szCs w:val="32"/>
        </w:rPr>
      </w:pPr>
      <w:r>
        <w:rPr>
          <w:sz w:val="32"/>
          <w:szCs w:val="32"/>
          <w:rtl/>
        </w:rPr>
        <w:t xml:space="preserve"> الإشارة إلي الإيجاز في بعض أنواع المجاز، لعز الدين بن عبد السلام، ( طبعة دار البشائر الإسلامية ، بيروت) .</w:t>
      </w:r>
    </w:p>
    <w:p w:rsidR="00EE1D16" w:rsidRDefault="00EE1D16" w:rsidP="00EE1D16">
      <w:pPr>
        <w:pStyle w:val="a3"/>
        <w:numPr>
          <w:ilvl w:val="0"/>
          <w:numId w:val="3"/>
        </w:numPr>
        <w:jc w:val="both"/>
        <w:rPr>
          <w:sz w:val="32"/>
          <w:szCs w:val="32"/>
        </w:rPr>
      </w:pPr>
      <w:r>
        <w:rPr>
          <w:sz w:val="32"/>
          <w:szCs w:val="32"/>
          <w:rtl/>
        </w:rPr>
        <w:t>الإصابة في تمييز الصحابة. لأبن حجر العسقلاني، (طبعة دار الجيل ، بيروت).</w:t>
      </w:r>
    </w:p>
    <w:p w:rsidR="00EE1D16" w:rsidRDefault="00EE1D16" w:rsidP="00EE1D16">
      <w:pPr>
        <w:pStyle w:val="a3"/>
        <w:numPr>
          <w:ilvl w:val="0"/>
          <w:numId w:val="3"/>
        </w:numPr>
        <w:jc w:val="both"/>
        <w:rPr>
          <w:sz w:val="32"/>
          <w:szCs w:val="32"/>
        </w:rPr>
      </w:pPr>
      <w:r>
        <w:rPr>
          <w:sz w:val="32"/>
          <w:szCs w:val="32"/>
          <w:rtl/>
        </w:rPr>
        <w:t xml:space="preserve">الأعلام لخير الدين </w:t>
      </w:r>
      <w:proofErr w:type="spellStart"/>
      <w:r>
        <w:rPr>
          <w:sz w:val="32"/>
          <w:szCs w:val="32"/>
          <w:rtl/>
        </w:rPr>
        <w:t>الزركلي</w:t>
      </w:r>
      <w:proofErr w:type="spellEnd"/>
      <w:r>
        <w:rPr>
          <w:sz w:val="32"/>
          <w:szCs w:val="32"/>
          <w:rtl/>
        </w:rPr>
        <w:t xml:space="preserve"> ، (طبعة دار العلم للملايين ).</w:t>
      </w:r>
    </w:p>
    <w:p w:rsidR="00EE1D16" w:rsidRDefault="00EE1D16" w:rsidP="00EE1D16">
      <w:pPr>
        <w:pStyle w:val="a3"/>
        <w:numPr>
          <w:ilvl w:val="0"/>
          <w:numId w:val="3"/>
        </w:numPr>
        <w:jc w:val="both"/>
        <w:rPr>
          <w:sz w:val="32"/>
          <w:szCs w:val="32"/>
        </w:rPr>
      </w:pPr>
      <w:r>
        <w:rPr>
          <w:sz w:val="32"/>
          <w:szCs w:val="32"/>
          <w:rtl/>
        </w:rPr>
        <w:t xml:space="preserve">البحر المحيط في أصول في أصول الفقه ، لبدر الدين </w:t>
      </w:r>
      <w:proofErr w:type="spellStart"/>
      <w:r>
        <w:rPr>
          <w:sz w:val="32"/>
          <w:szCs w:val="32"/>
          <w:rtl/>
        </w:rPr>
        <w:t>الزركشي</w:t>
      </w:r>
      <w:proofErr w:type="spellEnd"/>
      <w:r>
        <w:rPr>
          <w:sz w:val="32"/>
          <w:szCs w:val="32"/>
          <w:rtl/>
        </w:rPr>
        <w:t xml:space="preserve"> ، تحقيق: عبد السلام أبوغدة (طبعة وزارة الأوقاف والشؤون الإسلامي بالكويت).</w:t>
      </w:r>
    </w:p>
    <w:p w:rsidR="00EE1D16" w:rsidRDefault="00EE1D16" w:rsidP="00EE1D16">
      <w:pPr>
        <w:pStyle w:val="a3"/>
        <w:numPr>
          <w:ilvl w:val="0"/>
          <w:numId w:val="3"/>
        </w:numPr>
        <w:jc w:val="both"/>
        <w:rPr>
          <w:sz w:val="32"/>
          <w:szCs w:val="32"/>
        </w:rPr>
      </w:pPr>
      <w:r>
        <w:rPr>
          <w:sz w:val="32"/>
          <w:szCs w:val="32"/>
          <w:rtl/>
        </w:rPr>
        <w:t>بديع القرآن ، لأبي الأصبع، تحقيق: حنفي محمد شرف،(طبعة نهضة مصر للطباعة والنشر والتوزيع).</w:t>
      </w:r>
    </w:p>
    <w:p w:rsidR="00EE1D16" w:rsidRDefault="00EE1D16" w:rsidP="00EE1D16">
      <w:pPr>
        <w:pStyle w:val="a3"/>
        <w:numPr>
          <w:ilvl w:val="0"/>
          <w:numId w:val="3"/>
        </w:numPr>
        <w:jc w:val="both"/>
        <w:rPr>
          <w:sz w:val="32"/>
          <w:szCs w:val="32"/>
        </w:rPr>
      </w:pPr>
      <w:r>
        <w:rPr>
          <w:sz w:val="32"/>
          <w:szCs w:val="32"/>
          <w:rtl/>
        </w:rPr>
        <w:t xml:space="preserve">التحرير والتنوير، لأبن عاشور ،(طبعة </w:t>
      </w:r>
      <w:proofErr w:type="spellStart"/>
      <w:r>
        <w:rPr>
          <w:sz w:val="32"/>
          <w:szCs w:val="32"/>
          <w:rtl/>
        </w:rPr>
        <w:t>سحنون</w:t>
      </w:r>
      <w:proofErr w:type="spellEnd"/>
      <w:r>
        <w:rPr>
          <w:sz w:val="32"/>
          <w:szCs w:val="32"/>
          <w:rtl/>
        </w:rPr>
        <w:t>).</w:t>
      </w:r>
    </w:p>
    <w:p w:rsidR="00EE1D16" w:rsidRDefault="00EE1D16" w:rsidP="00EE1D16">
      <w:pPr>
        <w:pStyle w:val="a3"/>
        <w:numPr>
          <w:ilvl w:val="0"/>
          <w:numId w:val="3"/>
        </w:numPr>
        <w:jc w:val="both"/>
        <w:rPr>
          <w:sz w:val="32"/>
          <w:szCs w:val="32"/>
        </w:rPr>
      </w:pPr>
      <w:r>
        <w:rPr>
          <w:sz w:val="32"/>
          <w:szCs w:val="32"/>
          <w:rtl/>
        </w:rPr>
        <w:t>التفسير الكبير(مفاتيح الغيب) للرازي، (طبعة دار إحياء التراث العربي).</w:t>
      </w:r>
    </w:p>
    <w:p w:rsidR="00EE1D16" w:rsidRDefault="00EE1D16" w:rsidP="00EE1D16">
      <w:pPr>
        <w:pStyle w:val="a3"/>
        <w:numPr>
          <w:ilvl w:val="0"/>
          <w:numId w:val="3"/>
        </w:numPr>
        <w:jc w:val="both"/>
        <w:rPr>
          <w:sz w:val="32"/>
          <w:szCs w:val="32"/>
        </w:rPr>
      </w:pPr>
      <w:r>
        <w:rPr>
          <w:sz w:val="32"/>
          <w:szCs w:val="32"/>
          <w:rtl/>
        </w:rPr>
        <w:t>جامع البيان في تأويل القرآن، لمحمد جرير الطبري ، تحقيق:أحمد محمد شاكر(طبعة ، مؤسسة الرسالة).</w:t>
      </w:r>
    </w:p>
    <w:p w:rsidR="00EE1D16" w:rsidRDefault="00EE1D16" w:rsidP="00EE1D16">
      <w:pPr>
        <w:pStyle w:val="a3"/>
        <w:numPr>
          <w:ilvl w:val="0"/>
          <w:numId w:val="3"/>
        </w:numPr>
        <w:jc w:val="both"/>
        <w:rPr>
          <w:sz w:val="32"/>
          <w:szCs w:val="32"/>
        </w:rPr>
      </w:pPr>
      <w:r>
        <w:rPr>
          <w:sz w:val="32"/>
          <w:szCs w:val="32"/>
          <w:rtl/>
        </w:rPr>
        <w:t xml:space="preserve">سير أعلام النبلاء ،للذهبي، تحقيق:بشار عواد، د.محي السرحان، وشعيب </w:t>
      </w:r>
      <w:proofErr w:type="spellStart"/>
      <w:r>
        <w:rPr>
          <w:sz w:val="32"/>
          <w:szCs w:val="32"/>
          <w:rtl/>
        </w:rPr>
        <w:t>الأرناؤوط</w:t>
      </w:r>
      <w:proofErr w:type="spellEnd"/>
      <w:r>
        <w:rPr>
          <w:sz w:val="32"/>
          <w:szCs w:val="32"/>
          <w:rtl/>
        </w:rPr>
        <w:t>، وعلي أبو زيد (طبعة الرسالة).</w:t>
      </w:r>
    </w:p>
    <w:p w:rsidR="00EE1D16" w:rsidRDefault="00EE1D16" w:rsidP="00EE1D16">
      <w:pPr>
        <w:pStyle w:val="a3"/>
        <w:numPr>
          <w:ilvl w:val="0"/>
          <w:numId w:val="3"/>
        </w:numPr>
        <w:jc w:val="both"/>
        <w:rPr>
          <w:sz w:val="32"/>
          <w:szCs w:val="32"/>
        </w:rPr>
      </w:pPr>
      <w:r>
        <w:rPr>
          <w:sz w:val="32"/>
          <w:szCs w:val="32"/>
          <w:rtl/>
        </w:rPr>
        <w:t xml:space="preserve">طبقات المفسرين، لأحمد بن محمد </w:t>
      </w:r>
      <w:proofErr w:type="spellStart"/>
      <w:r>
        <w:rPr>
          <w:sz w:val="32"/>
          <w:szCs w:val="32"/>
          <w:rtl/>
        </w:rPr>
        <w:t>الأدنه</w:t>
      </w:r>
      <w:proofErr w:type="spellEnd"/>
      <w:r>
        <w:rPr>
          <w:sz w:val="32"/>
          <w:szCs w:val="32"/>
          <w:rtl/>
        </w:rPr>
        <w:t xml:space="preserve"> </w:t>
      </w:r>
      <w:proofErr w:type="spellStart"/>
      <w:r>
        <w:rPr>
          <w:sz w:val="32"/>
          <w:szCs w:val="32"/>
          <w:rtl/>
        </w:rPr>
        <w:t>وي</w:t>
      </w:r>
      <w:proofErr w:type="spellEnd"/>
      <w:r>
        <w:rPr>
          <w:sz w:val="32"/>
          <w:szCs w:val="32"/>
          <w:rtl/>
        </w:rPr>
        <w:t xml:space="preserve"> (طبعة العلوم والحكم).</w:t>
      </w:r>
    </w:p>
    <w:p w:rsidR="00EE1D16" w:rsidRDefault="00EE1D16" w:rsidP="00EE1D16">
      <w:pPr>
        <w:pStyle w:val="a3"/>
        <w:numPr>
          <w:ilvl w:val="0"/>
          <w:numId w:val="3"/>
        </w:numPr>
        <w:jc w:val="both"/>
        <w:rPr>
          <w:sz w:val="32"/>
          <w:szCs w:val="32"/>
        </w:rPr>
      </w:pPr>
      <w:r>
        <w:rPr>
          <w:sz w:val="32"/>
          <w:szCs w:val="32"/>
          <w:rtl/>
        </w:rPr>
        <w:t xml:space="preserve">طبقات المفسرين ، لشمس الدين محمد بن علي بن أحمد </w:t>
      </w:r>
      <w:proofErr w:type="spellStart"/>
      <w:r>
        <w:rPr>
          <w:sz w:val="32"/>
          <w:szCs w:val="32"/>
          <w:rtl/>
        </w:rPr>
        <w:t>الداودي</w:t>
      </w:r>
      <w:proofErr w:type="spellEnd"/>
      <w:r>
        <w:rPr>
          <w:sz w:val="32"/>
          <w:szCs w:val="32"/>
          <w:rtl/>
        </w:rPr>
        <w:t xml:space="preserve"> ،(طبعة دار الكتب العلمية- بيروت).</w:t>
      </w:r>
    </w:p>
    <w:p w:rsidR="00EE1D16" w:rsidRDefault="00EE1D16" w:rsidP="00EE1D16">
      <w:pPr>
        <w:pStyle w:val="a3"/>
        <w:numPr>
          <w:ilvl w:val="0"/>
          <w:numId w:val="3"/>
        </w:numPr>
        <w:jc w:val="both"/>
        <w:rPr>
          <w:sz w:val="32"/>
          <w:szCs w:val="32"/>
        </w:rPr>
      </w:pPr>
      <w:r>
        <w:rPr>
          <w:sz w:val="32"/>
          <w:szCs w:val="32"/>
          <w:rtl/>
        </w:rPr>
        <w:lastRenderedPageBreak/>
        <w:t>علماء نجد خلال ثمانية قرون، للشيخ عبد الله بن عبد الرحمن آل بسّام ،(طبعة دار العاصمة).</w:t>
      </w:r>
    </w:p>
    <w:p w:rsidR="00EE1D16" w:rsidRDefault="00EE1D16" w:rsidP="00EE1D16">
      <w:pPr>
        <w:pStyle w:val="a3"/>
        <w:numPr>
          <w:ilvl w:val="0"/>
          <w:numId w:val="3"/>
        </w:numPr>
        <w:jc w:val="both"/>
        <w:rPr>
          <w:sz w:val="32"/>
          <w:szCs w:val="32"/>
        </w:rPr>
      </w:pPr>
      <w:r>
        <w:rPr>
          <w:sz w:val="32"/>
          <w:szCs w:val="32"/>
          <w:rtl/>
        </w:rPr>
        <w:t xml:space="preserve">فتح القدير الجامع بين فنّي الرواية والدراية من علم التفسير، لمحمد علي </w:t>
      </w:r>
      <w:proofErr w:type="spellStart"/>
      <w:r>
        <w:rPr>
          <w:sz w:val="32"/>
          <w:szCs w:val="32"/>
          <w:rtl/>
        </w:rPr>
        <w:t>الشوكاني</w:t>
      </w:r>
      <w:proofErr w:type="spellEnd"/>
      <w:r>
        <w:rPr>
          <w:sz w:val="32"/>
          <w:szCs w:val="32"/>
          <w:rtl/>
        </w:rPr>
        <w:t>،(طبعة دار الفكر).</w:t>
      </w:r>
    </w:p>
    <w:p w:rsidR="00EE1D16" w:rsidRDefault="00EE1D16" w:rsidP="00EE1D16">
      <w:pPr>
        <w:pStyle w:val="a3"/>
        <w:numPr>
          <w:ilvl w:val="0"/>
          <w:numId w:val="3"/>
        </w:numPr>
        <w:jc w:val="both"/>
        <w:rPr>
          <w:sz w:val="32"/>
          <w:szCs w:val="32"/>
        </w:rPr>
      </w:pPr>
      <w:r>
        <w:rPr>
          <w:sz w:val="32"/>
          <w:szCs w:val="32"/>
          <w:rtl/>
        </w:rPr>
        <w:t>مختار الصحاح ، لمحمد بن أبي بكر بن عبد القادر الرازي،(طبعة مؤسسة الرسالة).</w:t>
      </w:r>
    </w:p>
    <w:p w:rsidR="00EE1D16" w:rsidRDefault="00EE1D16" w:rsidP="00EE1D16">
      <w:pPr>
        <w:pStyle w:val="a3"/>
        <w:numPr>
          <w:ilvl w:val="0"/>
          <w:numId w:val="3"/>
        </w:numPr>
        <w:jc w:val="both"/>
        <w:rPr>
          <w:sz w:val="32"/>
          <w:szCs w:val="32"/>
        </w:rPr>
      </w:pPr>
      <w:r>
        <w:rPr>
          <w:sz w:val="32"/>
          <w:szCs w:val="32"/>
          <w:rtl/>
        </w:rPr>
        <w:t>المستدرك علي الصحيحين للحاكم ، (طبعة دار المعرفة).</w:t>
      </w:r>
    </w:p>
    <w:p w:rsidR="00EE1D16" w:rsidRDefault="00EE1D16" w:rsidP="00EE1D16">
      <w:pPr>
        <w:pStyle w:val="a3"/>
        <w:numPr>
          <w:ilvl w:val="0"/>
          <w:numId w:val="3"/>
        </w:numPr>
        <w:jc w:val="both"/>
        <w:rPr>
          <w:sz w:val="32"/>
          <w:szCs w:val="32"/>
        </w:rPr>
      </w:pPr>
      <w:r>
        <w:rPr>
          <w:sz w:val="32"/>
          <w:szCs w:val="32"/>
          <w:rtl/>
        </w:rPr>
        <w:t xml:space="preserve">مسند الإمام أحمد بن حنبل ، تحقيق: شعيب </w:t>
      </w:r>
      <w:proofErr w:type="spellStart"/>
      <w:r>
        <w:rPr>
          <w:sz w:val="32"/>
          <w:szCs w:val="32"/>
          <w:rtl/>
        </w:rPr>
        <w:t>الأرناؤوط</w:t>
      </w:r>
      <w:proofErr w:type="spellEnd"/>
      <w:r>
        <w:rPr>
          <w:sz w:val="32"/>
          <w:szCs w:val="32"/>
          <w:rtl/>
        </w:rPr>
        <w:t xml:space="preserve"> ، (طبعة مؤسسة الرسالة).</w:t>
      </w:r>
    </w:p>
    <w:p w:rsidR="00EE1D16" w:rsidRDefault="00EE1D16" w:rsidP="00EE1D16">
      <w:pPr>
        <w:pStyle w:val="a3"/>
        <w:numPr>
          <w:ilvl w:val="0"/>
          <w:numId w:val="3"/>
        </w:numPr>
        <w:jc w:val="both"/>
        <w:rPr>
          <w:sz w:val="32"/>
          <w:szCs w:val="32"/>
        </w:rPr>
      </w:pPr>
      <w:r>
        <w:rPr>
          <w:sz w:val="32"/>
          <w:szCs w:val="32"/>
          <w:rtl/>
        </w:rPr>
        <w:t>معجم البلدان ، لياقوت الحموي،(طبعة إحياء التراث العربي).</w:t>
      </w:r>
    </w:p>
    <w:p w:rsidR="00EE1D16" w:rsidRDefault="00EE1D16" w:rsidP="00EE1D16">
      <w:pPr>
        <w:pStyle w:val="a3"/>
        <w:numPr>
          <w:ilvl w:val="0"/>
          <w:numId w:val="3"/>
        </w:numPr>
        <w:jc w:val="both"/>
        <w:rPr>
          <w:sz w:val="32"/>
          <w:szCs w:val="32"/>
        </w:rPr>
      </w:pPr>
      <w:r>
        <w:rPr>
          <w:sz w:val="32"/>
          <w:szCs w:val="32"/>
          <w:rtl/>
        </w:rPr>
        <w:t xml:space="preserve">معجم الصحابة ، لأبي القاسم </w:t>
      </w:r>
      <w:proofErr w:type="spellStart"/>
      <w:r>
        <w:rPr>
          <w:sz w:val="32"/>
          <w:szCs w:val="32"/>
          <w:rtl/>
        </w:rPr>
        <w:t>البغوي</w:t>
      </w:r>
      <w:proofErr w:type="spellEnd"/>
      <w:r>
        <w:rPr>
          <w:sz w:val="32"/>
          <w:szCs w:val="32"/>
          <w:rtl/>
        </w:rPr>
        <w:t xml:space="preserve">، دراسة وتحقيق: محمد الأمين بن محمد </w:t>
      </w:r>
      <w:proofErr w:type="spellStart"/>
      <w:r>
        <w:rPr>
          <w:sz w:val="32"/>
          <w:szCs w:val="32"/>
          <w:rtl/>
        </w:rPr>
        <w:t>الجكني</w:t>
      </w:r>
      <w:proofErr w:type="spellEnd"/>
      <w:r>
        <w:rPr>
          <w:sz w:val="32"/>
          <w:szCs w:val="32"/>
          <w:rtl/>
        </w:rPr>
        <w:t xml:space="preserve"> ،(مكتبة دار البيان – الكويت).</w:t>
      </w:r>
    </w:p>
    <w:p w:rsidR="00EE1D16" w:rsidRDefault="00EE1D16" w:rsidP="00EE1D16">
      <w:pPr>
        <w:pStyle w:val="a3"/>
        <w:numPr>
          <w:ilvl w:val="0"/>
          <w:numId w:val="3"/>
        </w:numPr>
        <w:jc w:val="both"/>
        <w:rPr>
          <w:sz w:val="32"/>
          <w:szCs w:val="32"/>
        </w:rPr>
      </w:pPr>
      <w:r>
        <w:rPr>
          <w:sz w:val="32"/>
          <w:szCs w:val="32"/>
          <w:rtl/>
        </w:rPr>
        <w:t>معجم المؤلفين ،لعمر رضا كحالة ،(طبعة دار إحياء التراث العربي).</w:t>
      </w:r>
    </w:p>
    <w:p w:rsidR="00EE1D16" w:rsidRDefault="00EE1D16" w:rsidP="00EE1D16">
      <w:pPr>
        <w:pStyle w:val="a3"/>
        <w:numPr>
          <w:ilvl w:val="0"/>
          <w:numId w:val="3"/>
        </w:numPr>
        <w:jc w:val="both"/>
        <w:rPr>
          <w:sz w:val="32"/>
          <w:szCs w:val="32"/>
        </w:rPr>
      </w:pPr>
      <w:r>
        <w:rPr>
          <w:sz w:val="32"/>
          <w:szCs w:val="32"/>
          <w:rtl/>
        </w:rPr>
        <w:t xml:space="preserve">نظم الدرر في تناسب الآيات والسور ، </w:t>
      </w:r>
      <w:proofErr w:type="spellStart"/>
      <w:r>
        <w:rPr>
          <w:sz w:val="32"/>
          <w:szCs w:val="32"/>
          <w:rtl/>
        </w:rPr>
        <w:t>للبقاعي</w:t>
      </w:r>
      <w:proofErr w:type="spellEnd"/>
      <w:r>
        <w:rPr>
          <w:sz w:val="32"/>
          <w:szCs w:val="32"/>
          <w:rtl/>
        </w:rPr>
        <w:t>، (طبعة دار الكتب العلمية).</w:t>
      </w:r>
    </w:p>
    <w:p w:rsidR="00EE1D16" w:rsidRDefault="00EE1D16" w:rsidP="00EE1D16">
      <w:pPr>
        <w:pStyle w:val="a3"/>
        <w:numPr>
          <w:ilvl w:val="0"/>
          <w:numId w:val="3"/>
        </w:numPr>
        <w:jc w:val="both"/>
        <w:rPr>
          <w:sz w:val="32"/>
          <w:szCs w:val="32"/>
        </w:rPr>
      </w:pPr>
      <w:r>
        <w:rPr>
          <w:sz w:val="32"/>
          <w:szCs w:val="32"/>
          <w:rtl/>
        </w:rPr>
        <w:t xml:space="preserve">الوافي بالوفيات ، لصلاح الدين خليل بن أبيك ، تحقيق: أحمد </w:t>
      </w:r>
      <w:proofErr w:type="spellStart"/>
      <w:r>
        <w:rPr>
          <w:sz w:val="32"/>
          <w:szCs w:val="32"/>
          <w:rtl/>
        </w:rPr>
        <w:t>الأرناؤوط</w:t>
      </w:r>
      <w:proofErr w:type="spellEnd"/>
      <w:r>
        <w:rPr>
          <w:sz w:val="32"/>
          <w:szCs w:val="32"/>
          <w:rtl/>
        </w:rPr>
        <w:t>،(طبعة دار إحياء التراث العربي - بيروت).</w:t>
      </w:r>
    </w:p>
    <w:p w:rsidR="00EE1D16" w:rsidRDefault="00EE1D16" w:rsidP="00EE1D16">
      <w:pPr>
        <w:pStyle w:val="a3"/>
        <w:numPr>
          <w:ilvl w:val="0"/>
          <w:numId w:val="3"/>
        </w:numPr>
        <w:jc w:val="both"/>
        <w:rPr>
          <w:sz w:val="32"/>
          <w:szCs w:val="32"/>
        </w:rPr>
      </w:pPr>
      <w:r>
        <w:rPr>
          <w:sz w:val="32"/>
          <w:szCs w:val="32"/>
          <w:rtl/>
        </w:rPr>
        <w:t xml:space="preserve"> </w:t>
      </w:r>
      <w:r>
        <w:rPr>
          <w:rFonts w:hint="cs"/>
          <w:sz w:val="32"/>
          <w:szCs w:val="32"/>
          <w:rtl/>
        </w:rPr>
        <w:t>التفسير والمفسرون ، لمحمد بن حسين الذهبي،(مكتبة وهبة المؤسسة السعودي بمصر- القاهرة).</w:t>
      </w:r>
    </w:p>
    <w:p w:rsidR="00EE1D16" w:rsidRDefault="00EE1D16" w:rsidP="00EE1D16">
      <w:pPr>
        <w:pStyle w:val="a3"/>
        <w:numPr>
          <w:ilvl w:val="0"/>
          <w:numId w:val="3"/>
        </w:numPr>
        <w:jc w:val="both"/>
        <w:rPr>
          <w:sz w:val="32"/>
          <w:szCs w:val="32"/>
        </w:rPr>
      </w:pPr>
      <w:r>
        <w:rPr>
          <w:sz w:val="32"/>
          <w:szCs w:val="32"/>
          <w:rtl/>
        </w:rPr>
        <w:t>وفيات الأعيان وابنا أنباء الزمان ، لأبن خلكان،(طبعة دار الكتب العلمية – بيروت).</w:t>
      </w:r>
    </w:p>
    <w:p w:rsidR="00EE1D16" w:rsidRDefault="00EE1D16" w:rsidP="00EE1D16">
      <w:pPr>
        <w:pStyle w:val="a3"/>
        <w:numPr>
          <w:ilvl w:val="0"/>
          <w:numId w:val="3"/>
        </w:numPr>
        <w:jc w:val="both"/>
        <w:rPr>
          <w:sz w:val="32"/>
          <w:szCs w:val="32"/>
        </w:rPr>
      </w:pPr>
      <w:r>
        <w:rPr>
          <w:sz w:val="32"/>
          <w:szCs w:val="32"/>
          <w:rtl/>
        </w:rPr>
        <w:t xml:space="preserve">مناهل العرفان في علوم القرآن ، للشيخ محمد عبد العظيم </w:t>
      </w:r>
      <w:proofErr w:type="spellStart"/>
      <w:r>
        <w:rPr>
          <w:sz w:val="32"/>
          <w:szCs w:val="32"/>
          <w:rtl/>
        </w:rPr>
        <w:t>الزرقاني</w:t>
      </w:r>
      <w:proofErr w:type="spellEnd"/>
      <w:r>
        <w:rPr>
          <w:sz w:val="32"/>
          <w:szCs w:val="32"/>
          <w:rtl/>
        </w:rPr>
        <w:t xml:space="preserve">،تحقيق: فؤاد أحمد </w:t>
      </w:r>
      <w:proofErr w:type="spellStart"/>
      <w:r>
        <w:rPr>
          <w:sz w:val="32"/>
          <w:szCs w:val="32"/>
          <w:rtl/>
        </w:rPr>
        <w:t>زمرلي</w:t>
      </w:r>
      <w:proofErr w:type="spellEnd"/>
      <w:r>
        <w:rPr>
          <w:sz w:val="32"/>
          <w:szCs w:val="32"/>
          <w:rtl/>
        </w:rPr>
        <w:t xml:space="preserve"> (طبعة دار الكتاب العربي – بيروت).</w:t>
      </w:r>
    </w:p>
    <w:p w:rsidR="00EE1D16" w:rsidRDefault="00EE1D16" w:rsidP="00EE1D16">
      <w:pPr>
        <w:pStyle w:val="a3"/>
        <w:numPr>
          <w:ilvl w:val="0"/>
          <w:numId w:val="3"/>
        </w:numPr>
        <w:jc w:val="both"/>
        <w:rPr>
          <w:sz w:val="32"/>
          <w:szCs w:val="32"/>
        </w:rPr>
      </w:pPr>
      <w:r>
        <w:rPr>
          <w:sz w:val="32"/>
          <w:szCs w:val="32"/>
          <w:rtl/>
        </w:rPr>
        <w:t xml:space="preserve">طبقات الشافعية ،لأبي بكر بن هداية الله الحسين، حققه وعلق عليه: عادل </w:t>
      </w:r>
      <w:proofErr w:type="spellStart"/>
      <w:r>
        <w:rPr>
          <w:sz w:val="32"/>
          <w:szCs w:val="32"/>
          <w:rtl/>
        </w:rPr>
        <w:t>نويهض</w:t>
      </w:r>
      <w:proofErr w:type="spellEnd"/>
      <w:r>
        <w:rPr>
          <w:sz w:val="32"/>
          <w:szCs w:val="32"/>
          <w:rtl/>
        </w:rPr>
        <w:t>(مطبعة دار الآفاق الجديدة – بيروت).</w:t>
      </w:r>
    </w:p>
    <w:p w:rsidR="00EE1D16" w:rsidRDefault="00EE1D16" w:rsidP="00EE1D16">
      <w:pPr>
        <w:pStyle w:val="a3"/>
        <w:numPr>
          <w:ilvl w:val="0"/>
          <w:numId w:val="3"/>
        </w:numPr>
        <w:jc w:val="both"/>
        <w:rPr>
          <w:sz w:val="32"/>
          <w:szCs w:val="32"/>
        </w:rPr>
      </w:pPr>
      <w:r>
        <w:rPr>
          <w:sz w:val="32"/>
          <w:szCs w:val="32"/>
          <w:rtl/>
        </w:rPr>
        <w:t>مباحث في علوم القرآن ، لمناع القطان،(طبعة مكتبة وهبة – القاهرة).</w:t>
      </w:r>
    </w:p>
    <w:p w:rsidR="00EE1D16" w:rsidRDefault="00EE1D16" w:rsidP="00EE1D16">
      <w:pPr>
        <w:pStyle w:val="a3"/>
        <w:numPr>
          <w:ilvl w:val="0"/>
          <w:numId w:val="3"/>
        </w:numPr>
        <w:jc w:val="both"/>
        <w:rPr>
          <w:sz w:val="32"/>
          <w:szCs w:val="32"/>
        </w:rPr>
      </w:pPr>
      <w:r>
        <w:rPr>
          <w:sz w:val="32"/>
          <w:szCs w:val="32"/>
          <w:rtl/>
        </w:rPr>
        <w:t>تفسير المنار، لمحمد رشيد رضا،(طبعة دار المعرفة – بيروت).</w:t>
      </w:r>
    </w:p>
    <w:p w:rsidR="00EE1D16" w:rsidRDefault="00EE1D16" w:rsidP="00EE1D16">
      <w:pPr>
        <w:pStyle w:val="a3"/>
        <w:numPr>
          <w:ilvl w:val="0"/>
          <w:numId w:val="3"/>
        </w:numPr>
        <w:jc w:val="both"/>
        <w:rPr>
          <w:sz w:val="32"/>
          <w:szCs w:val="32"/>
        </w:rPr>
      </w:pPr>
      <w:r>
        <w:rPr>
          <w:sz w:val="32"/>
          <w:szCs w:val="32"/>
          <w:rtl/>
        </w:rPr>
        <w:t>البرهان في تناسب سور القرآن، لأحمد بن الزبير الغرناطي(مطبعة دار النشر والأوقاف والشؤون الإسلامية – المغرب).</w:t>
      </w:r>
    </w:p>
    <w:p w:rsidR="00EE1D16" w:rsidRDefault="00EE1D16" w:rsidP="00EE1D16">
      <w:pPr>
        <w:pStyle w:val="a3"/>
        <w:numPr>
          <w:ilvl w:val="0"/>
          <w:numId w:val="3"/>
        </w:numPr>
        <w:jc w:val="both"/>
        <w:rPr>
          <w:sz w:val="32"/>
          <w:szCs w:val="32"/>
        </w:rPr>
      </w:pPr>
      <w:r>
        <w:rPr>
          <w:sz w:val="32"/>
          <w:szCs w:val="32"/>
          <w:rtl/>
        </w:rPr>
        <w:t xml:space="preserve">تفسير غرائب القرآن </w:t>
      </w:r>
      <w:proofErr w:type="spellStart"/>
      <w:r>
        <w:rPr>
          <w:sz w:val="32"/>
          <w:szCs w:val="32"/>
          <w:rtl/>
        </w:rPr>
        <w:t>ورغائب</w:t>
      </w:r>
      <w:proofErr w:type="spellEnd"/>
      <w:r>
        <w:rPr>
          <w:sz w:val="32"/>
          <w:szCs w:val="32"/>
          <w:rtl/>
        </w:rPr>
        <w:t xml:space="preserve"> الفرقان ، لأبن </w:t>
      </w:r>
      <w:proofErr w:type="spellStart"/>
      <w:r>
        <w:rPr>
          <w:sz w:val="32"/>
          <w:szCs w:val="32"/>
          <w:rtl/>
        </w:rPr>
        <w:t>القمّي</w:t>
      </w:r>
      <w:proofErr w:type="spellEnd"/>
      <w:r>
        <w:rPr>
          <w:sz w:val="32"/>
          <w:szCs w:val="32"/>
          <w:rtl/>
        </w:rPr>
        <w:t xml:space="preserve"> </w:t>
      </w:r>
      <w:proofErr w:type="spellStart"/>
      <w:r>
        <w:rPr>
          <w:sz w:val="32"/>
          <w:szCs w:val="32"/>
          <w:rtl/>
        </w:rPr>
        <w:t>النيسابوري</w:t>
      </w:r>
      <w:proofErr w:type="spellEnd"/>
      <w:r>
        <w:rPr>
          <w:sz w:val="32"/>
          <w:szCs w:val="32"/>
          <w:rtl/>
        </w:rPr>
        <w:t>،(مطبعة دار الكتب العلمية – بيروت).</w:t>
      </w:r>
    </w:p>
    <w:p w:rsidR="00EE1D16" w:rsidRDefault="00EE1D16" w:rsidP="00EE1D16">
      <w:pPr>
        <w:pStyle w:val="a3"/>
        <w:numPr>
          <w:ilvl w:val="0"/>
          <w:numId w:val="3"/>
        </w:numPr>
        <w:jc w:val="both"/>
        <w:rPr>
          <w:sz w:val="32"/>
          <w:szCs w:val="32"/>
        </w:rPr>
      </w:pPr>
      <w:r>
        <w:rPr>
          <w:sz w:val="32"/>
          <w:szCs w:val="32"/>
          <w:rtl/>
        </w:rPr>
        <w:lastRenderedPageBreak/>
        <w:t>البرهان في نظام القرآن ،للدكتور محمد عناية الله أسد سبحاني،(مطبعة دار عمّار للنشر والتوزيع – عمان).</w:t>
      </w:r>
    </w:p>
    <w:p w:rsidR="00EE1D16" w:rsidRDefault="00EE1D16" w:rsidP="00EE1D16">
      <w:pPr>
        <w:pStyle w:val="a3"/>
        <w:numPr>
          <w:ilvl w:val="0"/>
          <w:numId w:val="3"/>
        </w:numPr>
        <w:jc w:val="both"/>
        <w:rPr>
          <w:sz w:val="32"/>
          <w:szCs w:val="32"/>
        </w:rPr>
      </w:pPr>
      <w:r>
        <w:rPr>
          <w:sz w:val="32"/>
          <w:szCs w:val="32"/>
          <w:rtl/>
        </w:rPr>
        <w:t>حلية الأولياء وطبقات الأصفياء،للحافظ أبي نعيم أحمد بن عبد الله الأصفهاني(طبعة دار الكتب العلمية- بيروت).</w:t>
      </w:r>
    </w:p>
    <w:p w:rsidR="00EE1D16" w:rsidRDefault="00EE1D16" w:rsidP="00EE1D16">
      <w:pPr>
        <w:pStyle w:val="a3"/>
        <w:numPr>
          <w:ilvl w:val="0"/>
          <w:numId w:val="3"/>
        </w:numPr>
        <w:jc w:val="both"/>
        <w:rPr>
          <w:sz w:val="32"/>
          <w:szCs w:val="32"/>
        </w:rPr>
      </w:pPr>
      <w:r>
        <w:rPr>
          <w:sz w:val="32"/>
          <w:szCs w:val="32"/>
          <w:rtl/>
        </w:rPr>
        <w:t>معجم مقاييس اللغة، لأبن فارس،(طبعة دار الجيل – بيروت).</w:t>
      </w:r>
    </w:p>
    <w:p w:rsidR="00EE1D16" w:rsidRDefault="00EE1D16" w:rsidP="00EE1D16">
      <w:pPr>
        <w:pStyle w:val="a3"/>
        <w:numPr>
          <w:ilvl w:val="0"/>
          <w:numId w:val="3"/>
        </w:numPr>
        <w:jc w:val="both"/>
        <w:rPr>
          <w:sz w:val="32"/>
          <w:szCs w:val="32"/>
        </w:rPr>
      </w:pPr>
      <w:r>
        <w:rPr>
          <w:sz w:val="32"/>
          <w:szCs w:val="32"/>
          <w:rtl/>
        </w:rPr>
        <w:t>القاموس المحيط، لمجد الدين الفيروز آبادي ، (مطبعة دار المعرفة للنشر – بيروت).</w:t>
      </w:r>
    </w:p>
    <w:p w:rsidR="00EE1D16" w:rsidRDefault="00EE1D16" w:rsidP="00EE1D16">
      <w:pPr>
        <w:pStyle w:val="a3"/>
        <w:numPr>
          <w:ilvl w:val="0"/>
          <w:numId w:val="3"/>
        </w:numPr>
        <w:jc w:val="both"/>
        <w:rPr>
          <w:sz w:val="32"/>
          <w:szCs w:val="32"/>
        </w:rPr>
      </w:pPr>
      <w:r>
        <w:rPr>
          <w:sz w:val="32"/>
          <w:szCs w:val="32"/>
          <w:rtl/>
        </w:rPr>
        <w:t>البداية والنهاية ، لأبن كثير(طبع دار السعادة).</w:t>
      </w:r>
    </w:p>
    <w:p w:rsidR="00EE1D16" w:rsidRDefault="00EE1D16" w:rsidP="00EE1D16">
      <w:pPr>
        <w:pStyle w:val="a3"/>
        <w:numPr>
          <w:ilvl w:val="0"/>
          <w:numId w:val="3"/>
        </w:numPr>
        <w:jc w:val="both"/>
        <w:rPr>
          <w:sz w:val="32"/>
          <w:szCs w:val="32"/>
        </w:rPr>
      </w:pPr>
      <w:r>
        <w:rPr>
          <w:sz w:val="32"/>
          <w:szCs w:val="32"/>
          <w:rtl/>
        </w:rPr>
        <w:t>لسان العرب ، لأبن منظور(طبعة دار صادر للطباعة والنشر-بيروت).</w:t>
      </w:r>
    </w:p>
    <w:p w:rsidR="00EE1D16" w:rsidRDefault="00EE1D16" w:rsidP="00EE1D16">
      <w:pPr>
        <w:pStyle w:val="a3"/>
        <w:numPr>
          <w:ilvl w:val="0"/>
          <w:numId w:val="3"/>
        </w:numPr>
        <w:jc w:val="both"/>
        <w:rPr>
          <w:sz w:val="32"/>
          <w:szCs w:val="32"/>
        </w:rPr>
      </w:pPr>
      <w:r>
        <w:rPr>
          <w:sz w:val="32"/>
          <w:szCs w:val="32"/>
          <w:rtl/>
        </w:rPr>
        <w:t xml:space="preserve">الملل والنحل ، </w:t>
      </w:r>
      <w:proofErr w:type="spellStart"/>
      <w:r>
        <w:rPr>
          <w:sz w:val="32"/>
          <w:szCs w:val="32"/>
          <w:rtl/>
        </w:rPr>
        <w:t>للشهرستاني</w:t>
      </w:r>
      <w:proofErr w:type="spellEnd"/>
      <w:r>
        <w:rPr>
          <w:sz w:val="32"/>
          <w:szCs w:val="32"/>
          <w:rtl/>
        </w:rPr>
        <w:t xml:space="preserve"> ،(طبعة الثانية – لندن 1846).</w:t>
      </w:r>
    </w:p>
    <w:p w:rsidR="00EE1D16" w:rsidRDefault="00EE1D16" w:rsidP="00EE1D16">
      <w:pPr>
        <w:pStyle w:val="a3"/>
        <w:numPr>
          <w:ilvl w:val="0"/>
          <w:numId w:val="3"/>
        </w:numPr>
        <w:jc w:val="both"/>
        <w:rPr>
          <w:sz w:val="32"/>
          <w:szCs w:val="32"/>
        </w:rPr>
      </w:pPr>
      <w:r>
        <w:rPr>
          <w:sz w:val="32"/>
          <w:szCs w:val="32"/>
          <w:rtl/>
        </w:rPr>
        <w:t>المحرر الوجيز في تفسير الكتاب العزيز ، لأبن عطية(نشر وزارة الأوقاف والشئون الإسلامية بالمغرب).</w:t>
      </w:r>
    </w:p>
    <w:p w:rsidR="00EE1D16" w:rsidRDefault="00EE1D16" w:rsidP="00EE1D16">
      <w:pPr>
        <w:pStyle w:val="a3"/>
        <w:numPr>
          <w:ilvl w:val="0"/>
          <w:numId w:val="3"/>
        </w:numPr>
        <w:jc w:val="both"/>
        <w:rPr>
          <w:sz w:val="32"/>
          <w:szCs w:val="32"/>
        </w:rPr>
      </w:pPr>
      <w:r>
        <w:rPr>
          <w:sz w:val="32"/>
          <w:szCs w:val="32"/>
          <w:rtl/>
        </w:rPr>
        <w:t xml:space="preserve">الأنساب ليدن ، </w:t>
      </w:r>
      <w:proofErr w:type="spellStart"/>
      <w:r>
        <w:rPr>
          <w:sz w:val="32"/>
          <w:szCs w:val="32"/>
          <w:rtl/>
        </w:rPr>
        <w:t>للسمعاني</w:t>
      </w:r>
      <w:proofErr w:type="spellEnd"/>
      <w:r>
        <w:rPr>
          <w:sz w:val="32"/>
          <w:szCs w:val="32"/>
          <w:rtl/>
        </w:rPr>
        <w:t xml:space="preserve"> (نشر دار المعارف العثمانية بالهند).</w:t>
      </w:r>
    </w:p>
    <w:p w:rsidR="00EE1D16" w:rsidRDefault="00EE1D16" w:rsidP="00EE1D16">
      <w:pPr>
        <w:pStyle w:val="a3"/>
        <w:numPr>
          <w:ilvl w:val="0"/>
          <w:numId w:val="3"/>
        </w:numPr>
        <w:jc w:val="both"/>
        <w:rPr>
          <w:sz w:val="32"/>
          <w:szCs w:val="32"/>
        </w:rPr>
      </w:pPr>
      <w:r>
        <w:rPr>
          <w:sz w:val="32"/>
          <w:szCs w:val="32"/>
          <w:rtl/>
        </w:rPr>
        <w:t xml:space="preserve">الطبقات </w:t>
      </w:r>
      <w:proofErr w:type="spellStart"/>
      <w:r>
        <w:rPr>
          <w:sz w:val="32"/>
          <w:szCs w:val="32"/>
          <w:rtl/>
        </w:rPr>
        <w:t>الكبري</w:t>
      </w:r>
      <w:proofErr w:type="spellEnd"/>
      <w:r>
        <w:rPr>
          <w:sz w:val="32"/>
          <w:szCs w:val="32"/>
          <w:rtl/>
        </w:rPr>
        <w:t xml:space="preserve"> ،لأبن سعد،(طبعة المكتبة القيّمة – القاهرة).</w:t>
      </w:r>
    </w:p>
    <w:p w:rsidR="00EE1D16" w:rsidRDefault="00EE1D16" w:rsidP="00EE1D16">
      <w:pPr>
        <w:pStyle w:val="a3"/>
        <w:numPr>
          <w:ilvl w:val="0"/>
          <w:numId w:val="3"/>
        </w:numPr>
        <w:jc w:val="both"/>
        <w:rPr>
          <w:sz w:val="32"/>
          <w:szCs w:val="32"/>
        </w:rPr>
      </w:pPr>
      <w:r>
        <w:rPr>
          <w:sz w:val="32"/>
          <w:szCs w:val="32"/>
          <w:rtl/>
        </w:rPr>
        <w:t>البرهان الكاشف عن إعجاز القرآن ،</w:t>
      </w:r>
      <w:proofErr w:type="spellStart"/>
      <w:r>
        <w:rPr>
          <w:sz w:val="32"/>
          <w:szCs w:val="32"/>
          <w:rtl/>
        </w:rPr>
        <w:t>للزملكاني</w:t>
      </w:r>
      <w:proofErr w:type="spellEnd"/>
      <w:r>
        <w:rPr>
          <w:sz w:val="32"/>
          <w:szCs w:val="32"/>
          <w:rtl/>
        </w:rPr>
        <w:t xml:space="preserve"> (نشر وزارة الأوقاف العراقية – بغداد).</w:t>
      </w:r>
    </w:p>
    <w:p w:rsidR="00EE1D16" w:rsidRDefault="00EE1D16" w:rsidP="00EE1D16">
      <w:pPr>
        <w:pStyle w:val="a3"/>
        <w:numPr>
          <w:ilvl w:val="0"/>
          <w:numId w:val="3"/>
        </w:numPr>
        <w:jc w:val="both"/>
        <w:rPr>
          <w:sz w:val="32"/>
          <w:szCs w:val="32"/>
        </w:rPr>
      </w:pPr>
      <w:r>
        <w:rPr>
          <w:sz w:val="32"/>
          <w:szCs w:val="32"/>
          <w:rtl/>
        </w:rPr>
        <w:t xml:space="preserve">مجموع </w:t>
      </w:r>
      <w:proofErr w:type="spellStart"/>
      <w:r>
        <w:rPr>
          <w:sz w:val="32"/>
          <w:szCs w:val="32"/>
          <w:rtl/>
        </w:rPr>
        <w:t>الفتاوي</w:t>
      </w:r>
      <w:proofErr w:type="spellEnd"/>
      <w:r>
        <w:rPr>
          <w:sz w:val="32"/>
          <w:szCs w:val="32"/>
          <w:rtl/>
        </w:rPr>
        <w:t xml:space="preserve"> ، لأبن تيمية، (مجمع الملك فهد لطباعة المصحف الشريف – السعودية).</w:t>
      </w:r>
    </w:p>
    <w:p w:rsidR="00EE1D16" w:rsidRDefault="00EE1D16" w:rsidP="00EE1D16">
      <w:pPr>
        <w:pStyle w:val="a3"/>
        <w:numPr>
          <w:ilvl w:val="0"/>
          <w:numId w:val="3"/>
        </w:numPr>
        <w:jc w:val="both"/>
        <w:rPr>
          <w:sz w:val="32"/>
          <w:szCs w:val="32"/>
        </w:rPr>
      </w:pPr>
      <w:r>
        <w:rPr>
          <w:sz w:val="32"/>
          <w:szCs w:val="32"/>
          <w:rtl/>
        </w:rPr>
        <w:t xml:space="preserve">ميزان الاعتدال في نقد الرجال ، للذهبي،(طبعة دار المعرفة للطباعة والنشر- بيروت).  </w:t>
      </w:r>
    </w:p>
    <w:p w:rsidR="00EE1D16" w:rsidRDefault="00EE1D16" w:rsidP="00EE1D16">
      <w:pPr>
        <w:numPr>
          <w:ilvl w:val="0"/>
          <w:numId w:val="3"/>
        </w:numPr>
        <w:jc w:val="both"/>
        <w:rPr>
          <w:rFonts w:ascii="Times New Roman" w:hAnsi="Times New Roman" w:cs="Times New Roman"/>
          <w:sz w:val="32"/>
          <w:szCs w:val="32"/>
          <w:rtl/>
        </w:rPr>
      </w:pPr>
      <w:r>
        <w:rPr>
          <w:rFonts w:ascii="Times New Roman" w:hAnsi="Times New Roman" w:cs="Times New Roman" w:hint="cs"/>
          <w:sz w:val="32"/>
          <w:szCs w:val="32"/>
          <w:rtl/>
        </w:rPr>
        <w:t>(33) المعجم الكبير ، للطبري ، أبو جعفر محمد بن جرير الطبري ،تحقيق :محمود محمد شاكر، ط دار المعارف ، القاهرة,</w:t>
      </w:r>
    </w:p>
    <w:p w:rsidR="00EE1D16" w:rsidRDefault="00EE1D16" w:rsidP="00EE1D16">
      <w:pPr>
        <w:pStyle w:val="a3"/>
        <w:numPr>
          <w:ilvl w:val="0"/>
          <w:numId w:val="3"/>
        </w:numPr>
        <w:jc w:val="both"/>
        <w:rPr>
          <w:sz w:val="32"/>
          <w:szCs w:val="32"/>
        </w:rPr>
      </w:pPr>
      <w:r>
        <w:rPr>
          <w:rFonts w:hint="cs"/>
          <w:sz w:val="32"/>
          <w:szCs w:val="32"/>
          <w:rtl/>
        </w:rPr>
        <w:t>الموقع الرسمي للمكتبة الشاملة:</w:t>
      </w:r>
      <w:proofErr w:type="spellStart"/>
      <w:r>
        <w:rPr>
          <w:sz w:val="32"/>
          <w:szCs w:val="32"/>
        </w:rPr>
        <w:t>shamela</w:t>
      </w:r>
      <w:proofErr w:type="spellEnd"/>
      <w:r>
        <w:rPr>
          <w:sz w:val="32"/>
          <w:szCs w:val="32"/>
        </w:rPr>
        <w:t>\</w:t>
      </w:r>
      <w:proofErr w:type="spellStart"/>
      <w:r>
        <w:rPr>
          <w:sz w:val="32"/>
          <w:szCs w:val="32"/>
        </w:rPr>
        <w:t>ws</w:t>
      </w:r>
      <w:proofErr w:type="spellEnd"/>
      <w:r>
        <w:rPr>
          <w:sz w:val="32"/>
          <w:szCs w:val="32"/>
        </w:rPr>
        <w:t>\</w:t>
      </w:r>
      <w:proofErr w:type="spellStart"/>
      <w:r>
        <w:rPr>
          <w:sz w:val="32"/>
          <w:szCs w:val="32"/>
        </w:rPr>
        <w:t>indexphp</w:t>
      </w:r>
      <w:proofErr w:type="spellEnd"/>
      <w:r>
        <w:rPr>
          <w:sz w:val="32"/>
          <w:szCs w:val="32"/>
        </w:rPr>
        <w:t>\author\136</w:t>
      </w:r>
    </w:p>
    <w:p w:rsidR="00EE1D16" w:rsidRDefault="00EE1D16" w:rsidP="00EE1D16">
      <w:pPr>
        <w:pStyle w:val="a3"/>
        <w:numPr>
          <w:ilvl w:val="0"/>
          <w:numId w:val="3"/>
        </w:numPr>
        <w:jc w:val="both"/>
        <w:rPr>
          <w:rFonts w:hint="cs"/>
          <w:sz w:val="32"/>
          <w:szCs w:val="32"/>
          <w:rtl/>
        </w:rPr>
      </w:pPr>
      <w:r>
        <w:rPr>
          <w:rFonts w:hint="cs"/>
          <w:sz w:val="32"/>
          <w:szCs w:val="32"/>
          <w:rtl/>
        </w:rPr>
        <w:t xml:space="preserve">المناسبات في القرآن الكريم، دارسة تطبيقية في سورتي الفاتحة والبقرة، من تفسير الفخر الرازي، للدكتور: عبد الله بن مقبل بن ظافر القرني، رسالة ماجستير،جامعة أم </w:t>
      </w:r>
      <w:proofErr w:type="spellStart"/>
      <w:r>
        <w:rPr>
          <w:rFonts w:hint="cs"/>
          <w:sz w:val="32"/>
          <w:szCs w:val="32"/>
          <w:rtl/>
        </w:rPr>
        <w:t>القري</w:t>
      </w:r>
      <w:proofErr w:type="spellEnd"/>
      <w:r>
        <w:rPr>
          <w:rFonts w:hint="cs"/>
          <w:sz w:val="32"/>
          <w:szCs w:val="32"/>
          <w:rtl/>
        </w:rPr>
        <w:t>،(1413هـ).</w:t>
      </w: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pStyle w:val="a3"/>
        <w:jc w:val="both"/>
        <w:rPr>
          <w:rFonts w:hint="cs"/>
          <w:sz w:val="32"/>
          <w:szCs w:val="32"/>
          <w:rtl/>
        </w:rPr>
      </w:pPr>
    </w:p>
    <w:p w:rsidR="00EE1D16" w:rsidRDefault="00EE1D16" w:rsidP="00EE1D16">
      <w:pPr>
        <w:rPr>
          <w:rFonts w:ascii="Microsoft Sans Serif" w:eastAsia="Arial Unicode MS" w:hAnsi="Microsoft Sans Serif" w:cs="Old Antic Decorative"/>
          <w:sz w:val="72"/>
          <w:szCs w:val="72"/>
          <w:rtl/>
        </w:rPr>
      </w:pPr>
    </w:p>
    <w:p w:rsidR="00E0136D" w:rsidRDefault="00E0136D"/>
    <w:sectPr w:rsidR="00E0136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e_AlMateen">
    <w:altName w:val="Times New Roman"/>
    <w:charset w:val="00"/>
    <w:family w:val="roman"/>
    <w:pitch w:val="variable"/>
    <w:sig w:usb0="00000000" w:usb1="C000204A" w:usb2="00000008" w:usb3="00000000" w:csb0="00000041" w:csb1="00000000"/>
  </w:font>
  <w:font w:name="AGA Battouta Regular">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Microsoft Sans Serif">
    <w:panose1 w:val="020B0604020202020204"/>
    <w:charset w:val="00"/>
    <w:family w:val="swiss"/>
    <w:pitch w:val="variable"/>
    <w:sig w:usb0="E1002AFF" w:usb1="C0000002"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Old Antic Decorative">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504D1"/>
    <w:multiLevelType w:val="hybridMultilevel"/>
    <w:tmpl w:val="12522760"/>
    <w:lvl w:ilvl="0" w:tplc="3D14ABE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2AFA6D41"/>
    <w:multiLevelType w:val="hybridMultilevel"/>
    <w:tmpl w:val="BE3478EC"/>
    <w:lvl w:ilvl="0" w:tplc="9B9C4EBA">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46A029A1"/>
    <w:multiLevelType w:val="hybridMultilevel"/>
    <w:tmpl w:val="36664FA6"/>
    <w:lvl w:ilvl="0" w:tplc="F0C67CE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EE1D16"/>
    <w:rsid w:val="00E0136D"/>
    <w:rsid w:val="00EE1D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1D16"/>
    <w:pPr>
      <w:ind w:left="720"/>
      <w:contextualSpacing/>
    </w:pPr>
    <w:rPr>
      <w:rFonts w:ascii="Calibri" w:eastAsia="Times New Roman" w:hAnsi="Calibri" w:cs="Arial"/>
    </w:rPr>
  </w:style>
</w:styles>
</file>

<file path=word/webSettings.xml><?xml version="1.0" encoding="utf-8"?>
<w:webSettings xmlns:r="http://schemas.openxmlformats.org/officeDocument/2006/relationships" xmlns:w="http://schemas.openxmlformats.org/wordprocessingml/2006/main">
  <w:divs>
    <w:div w:id="2049642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1276</Words>
  <Characters>7278</Characters>
  <Application>Microsoft Office Word</Application>
  <DocSecurity>0</DocSecurity>
  <Lines>60</Lines>
  <Paragraphs>17</Paragraphs>
  <ScaleCrop>false</ScaleCrop>
  <Company/>
  <LinksUpToDate>false</LinksUpToDate>
  <CharactersWithSpaces>8537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win7</cp:lastModifiedBy>
  <cp:revision>2</cp:revision>
  <dcterms:created xsi:type="dcterms:W3CDTF">2017-01-29T10:14:00Z</dcterms:created>
  <dcterms:modified xsi:type="dcterms:W3CDTF">2017-01-29T10:16:00Z</dcterms:modified>
</cp:coreProperties>
</file>